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1F7" w:rsidRPr="00F76B76" w:rsidRDefault="00BE31F7" w:rsidP="00BE31F7">
      <w:pPr>
        <w:tabs>
          <w:tab w:val="right" w:pos="9638"/>
        </w:tabs>
        <w:rPr>
          <w:rFonts w:ascii="Arial" w:hAnsi="Arial" w:cs="Arial"/>
          <w:b/>
          <w:bCs/>
          <w:sz w:val="24"/>
          <w:szCs w:val="24"/>
        </w:rPr>
      </w:pPr>
      <w:r>
        <w:rPr>
          <w:rFonts w:ascii="Arial" w:hAnsi="Arial" w:cs="Arial"/>
          <w:b/>
          <w:bCs/>
          <w:sz w:val="24"/>
          <w:szCs w:val="24"/>
        </w:rPr>
        <w:t>RAN WG6</w:t>
      </w:r>
      <w:r w:rsidRPr="00F76B76">
        <w:rPr>
          <w:rFonts w:ascii="Arial" w:hAnsi="Arial" w:cs="Arial"/>
          <w:b/>
          <w:bCs/>
          <w:sz w:val="24"/>
          <w:szCs w:val="24"/>
        </w:rPr>
        <w:t xml:space="preserve"> Meeting #1</w:t>
      </w:r>
      <w:r>
        <w:rPr>
          <w:rFonts w:ascii="Arial" w:hAnsi="Arial" w:cs="Arial"/>
          <w:b/>
          <w:bCs/>
          <w:sz w:val="24"/>
          <w:szCs w:val="24"/>
        </w:rPr>
        <w:tab/>
        <w:t>R6-160089</w:t>
      </w:r>
    </w:p>
    <w:p w:rsidR="00BE31F7" w:rsidRPr="00F76B76" w:rsidRDefault="00BE31F7" w:rsidP="00BE31F7">
      <w:pPr>
        <w:pBdr>
          <w:bottom w:val="single" w:sz="6" w:space="0" w:color="auto"/>
        </w:pBdr>
        <w:tabs>
          <w:tab w:val="right" w:pos="9638"/>
        </w:tabs>
        <w:rPr>
          <w:rFonts w:ascii="Arial" w:hAnsi="Arial" w:cs="Arial"/>
          <w:b/>
          <w:bCs/>
          <w:sz w:val="24"/>
          <w:szCs w:val="24"/>
        </w:rPr>
      </w:pPr>
      <w:r>
        <w:rPr>
          <w:rFonts w:ascii="Arial" w:hAnsi="Arial" w:cs="Arial"/>
          <w:b/>
          <w:bCs/>
          <w:sz w:val="24"/>
          <w:szCs w:val="24"/>
        </w:rPr>
        <w:t>22-26 August 2016, Gothenburg, Sweden</w:t>
      </w:r>
    </w:p>
    <w:p w:rsidR="00BE31F7" w:rsidRDefault="00BE31F7" w:rsidP="00BE31F7">
      <w:pPr>
        <w:ind w:left="2127" w:hanging="2127"/>
        <w:rPr>
          <w:rFonts w:ascii="Arial" w:hAnsi="Arial" w:cs="Arial"/>
          <w:b/>
        </w:rPr>
      </w:pPr>
      <w:r>
        <w:rPr>
          <w:rFonts w:ascii="Arial" w:hAnsi="Arial" w:cs="Arial"/>
          <w:b/>
        </w:rPr>
        <w:t>Source:</w:t>
      </w:r>
      <w:r>
        <w:rPr>
          <w:rFonts w:ascii="Arial" w:hAnsi="Arial" w:cs="Arial"/>
          <w:b/>
        </w:rPr>
        <w:tab/>
        <w:t>LM Ericsson</w:t>
      </w:r>
    </w:p>
    <w:p w:rsidR="00BE31F7" w:rsidRDefault="00BE31F7" w:rsidP="00BE31F7">
      <w:pPr>
        <w:ind w:left="2127" w:hanging="2127"/>
        <w:rPr>
          <w:rFonts w:ascii="Arial" w:hAnsi="Arial" w:cs="Arial"/>
          <w:b/>
        </w:rPr>
      </w:pPr>
      <w:r>
        <w:rPr>
          <w:rFonts w:ascii="Arial" w:hAnsi="Arial" w:cs="Arial"/>
          <w:b/>
        </w:rPr>
        <w:t>Title:</w:t>
      </w:r>
      <w:r>
        <w:rPr>
          <w:rFonts w:ascii="Arial" w:hAnsi="Arial" w:cs="Arial"/>
          <w:b/>
        </w:rPr>
        <w:tab/>
        <w:t>DÉCOR – Way Forward</w:t>
      </w:r>
    </w:p>
    <w:p w:rsidR="00BE31F7" w:rsidRDefault="00BE31F7" w:rsidP="00BE31F7">
      <w:pPr>
        <w:ind w:left="2127" w:hanging="2127"/>
        <w:rPr>
          <w:rFonts w:ascii="Arial" w:hAnsi="Arial" w:cs="Arial"/>
          <w:b/>
        </w:rPr>
      </w:pPr>
      <w:r>
        <w:rPr>
          <w:rFonts w:ascii="Arial" w:hAnsi="Arial" w:cs="Arial"/>
          <w:b/>
        </w:rPr>
        <w:t>Document for:</w:t>
      </w:r>
      <w:r>
        <w:rPr>
          <w:rFonts w:ascii="Arial" w:hAnsi="Arial" w:cs="Arial"/>
          <w:b/>
        </w:rPr>
        <w:tab/>
        <w:t>Discussion</w:t>
      </w:r>
    </w:p>
    <w:p w:rsidR="00BE31F7" w:rsidRDefault="00BE31F7" w:rsidP="00BE31F7">
      <w:pPr>
        <w:ind w:left="2127" w:hanging="2127"/>
        <w:rPr>
          <w:rFonts w:ascii="Arial" w:hAnsi="Arial" w:cs="Arial"/>
          <w:b/>
        </w:rPr>
      </w:pPr>
      <w:r>
        <w:rPr>
          <w:rFonts w:ascii="Arial" w:hAnsi="Arial" w:cs="Arial"/>
          <w:b/>
        </w:rPr>
        <w:t>Agenda Item:</w:t>
      </w:r>
      <w:r>
        <w:rPr>
          <w:rFonts w:ascii="Arial" w:hAnsi="Arial" w:cs="Arial"/>
          <w:b/>
        </w:rPr>
        <w:tab/>
        <w:t>6.2</w:t>
      </w:r>
    </w:p>
    <w:p w:rsidR="00BE31F7" w:rsidRDefault="00BE31F7" w:rsidP="00BE31F7">
      <w:pPr>
        <w:ind w:left="2127" w:hanging="2127"/>
        <w:rPr>
          <w:rFonts w:ascii="Arial" w:hAnsi="Arial" w:cs="Arial"/>
          <w:b/>
        </w:rPr>
      </w:pPr>
      <w:r>
        <w:rPr>
          <w:rFonts w:ascii="Arial" w:hAnsi="Arial" w:cs="Arial"/>
          <w:b/>
        </w:rPr>
        <w:t>Work Item / Release:</w:t>
      </w:r>
      <w:r>
        <w:rPr>
          <w:rFonts w:ascii="Arial" w:hAnsi="Arial" w:cs="Arial"/>
          <w:b/>
        </w:rPr>
        <w:tab/>
      </w:r>
    </w:p>
    <w:p w:rsidR="00BE31F7" w:rsidRDefault="00BE31F7" w:rsidP="00BE31F7">
      <w:pPr>
        <w:rPr>
          <w:rFonts w:ascii="Arial" w:hAnsi="Arial" w:cs="Arial"/>
          <w:i/>
        </w:rPr>
      </w:pPr>
      <w:r>
        <w:rPr>
          <w:rFonts w:ascii="Arial" w:hAnsi="Arial" w:cs="Arial"/>
          <w:i/>
        </w:rPr>
        <w:t xml:space="preserve">Abstract of the contribution: </w:t>
      </w:r>
      <w:r w:rsidRPr="00DB539E">
        <w:rPr>
          <w:rFonts w:ascii="Arial" w:hAnsi="Arial" w:cs="Arial"/>
          <w:i/>
        </w:rPr>
        <w:t xml:space="preserve">This contribution documents a </w:t>
      </w:r>
      <w:r>
        <w:rPr>
          <w:rFonts w:ascii="Arial" w:hAnsi="Arial" w:cs="Arial"/>
          <w:i/>
        </w:rPr>
        <w:t xml:space="preserve">proposed way forward for realizing </w:t>
      </w:r>
      <w:r w:rsidRPr="00ED0FC5">
        <w:rPr>
          <w:rFonts w:ascii="Arial" w:hAnsi="Arial" w:cs="Arial"/>
          <w:i/>
        </w:rPr>
        <w:t>support for Rel-13 DECOR within the context of GERAN Rel-14.</w:t>
      </w:r>
    </w:p>
    <w:p w:rsidR="00BE31F7" w:rsidRDefault="00BE31F7" w:rsidP="00BE31F7">
      <w:pPr>
        <w:rPr>
          <w:rFonts w:ascii="Arial" w:hAnsi="Arial" w:cs="Arial"/>
        </w:rPr>
      </w:pPr>
    </w:p>
    <w:p w:rsidR="00BE31F7" w:rsidRDefault="00BE31F7" w:rsidP="00BE31F7">
      <w:pPr>
        <w:pStyle w:val="Heading1"/>
        <w:numPr>
          <w:ilvl w:val="0"/>
          <w:numId w:val="21"/>
        </w:numPr>
      </w:pPr>
      <w:r>
        <w:t>Introduction</w:t>
      </w:r>
    </w:p>
    <w:p w:rsidR="00BE31F7" w:rsidRDefault="00BE31F7" w:rsidP="00BE31F7">
      <w:pPr>
        <w:pStyle w:val="BodyText"/>
        <w:rPr>
          <w:sz w:val="22"/>
          <w:szCs w:val="22"/>
        </w:rPr>
      </w:pPr>
      <w:r>
        <w:rPr>
          <w:sz w:val="22"/>
          <w:szCs w:val="22"/>
        </w:rPr>
        <w:t>Procedures are</w:t>
      </w:r>
      <w:r w:rsidRPr="00DE2B99">
        <w:rPr>
          <w:sz w:val="22"/>
          <w:szCs w:val="22"/>
        </w:rPr>
        <w:t xml:space="preserve"> required regarding how a BSS is to determine where to send an LLC PDU received from a MS </w:t>
      </w:r>
      <w:r w:rsidRPr="00ED0FC5">
        <w:rPr>
          <w:sz w:val="22"/>
          <w:szCs w:val="22"/>
        </w:rPr>
        <w:t xml:space="preserve">for the case where the Dedicated Core Network (DECOR) feature is supported within the context of GERAN PS domain operation. Sub-clauses 4.3.25.1, 5.19.1 and 5.19.2 of 23.401 provide an overview of these procedures but a few issues remain regarding how these procedures impact the GERAN related specifications.  At present there is no use case foreseen to justify supporting DECOR within the context </w:t>
      </w:r>
      <w:r>
        <w:rPr>
          <w:sz w:val="22"/>
          <w:szCs w:val="22"/>
        </w:rPr>
        <w:t>of the</w:t>
      </w:r>
      <w:r w:rsidRPr="00ED0FC5">
        <w:rPr>
          <w:sz w:val="22"/>
          <w:szCs w:val="22"/>
        </w:rPr>
        <w:t xml:space="preserve"> GERAN CS domain operation</w:t>
      </w:r>
      <w:r>
        <w:rPr>
          <w:sz w:val="22"/>
          <w:szCs w:val="22"/>
        </w:rPr>
        <w:t xml:space="preserve">. </w:t>
      </w:r>
    </w:p>
    <w:p w:rsidR="00BE31F7" w:rsidRPr="00ED4AC3" w:rsidRDefault="00BE31F7" w:rsidP="00BE31F7">
      <w:pPr>
        <w:pStyle w:val="BodyText"/>
        <w:numPr>
          <w:ilvl w:val="0"/>
          <w:numId w:val="21"/>
        </w:numPr>
        <w:spacing w:after="120"/>
        <w:rPr>
          <w:rFonts w:ascii="Arial" w:hAnsi="Arial" w:cs="Arial"/>
          <w:sz w:val="36"/>
          <w:szCs w:val="36"/>
        </w:rPr>
      </w:pPr>
      <w:r w:rsidRPr="00ED4AC3">
        <w:rPr>
          <w:rFonts w:ascii="Arial" w:hAnsi="Arial" w:cs="Arial"/>
          <w:sz w:val="36"/>
          <w:szCs w:val="36"/>
        </w:rPr>
        <w:t>DECOR Support in GERAN</w:t>
      </w:r>
    </w:p>
    <w:p w:rsidR="00BE31F7" w:rsidRPr="0007306C" w:rsidRDefault="00BE31F7" w:rsidP="00BE31F7">
      <w:pPr>
        <w:pStyle w:val="BodyText"/>
        <w:rPr>
          <w:sz w:val="22"/>
          <w:szCs w:val="22"/>
        </w:rPr>
      </w:pPr>
      <w:r>
        <w:rPr>
          <w:sz w:val="22"/>
          <w:szCs w:val="22"/>
        </w:rPr>
        <w:t xml:space="preserve">The text in Annex A below identifies extracts from 23.401 that describe key aspects of the DECOR feature as it </w:t>
      </w:r>
      <w:r w:rsidRPr="00E74E61">
        <w:rPr>
          <w:sz w:val="22"/>
          <w:szCs w:val="22"/>
        </w:rPr>
        <w:t xml:space="preserve">applies to </w:t>
      </w:r>
      <w:r w:rsidRPr="0007306C">
        <w:rPr>
          <w:sz w:val="22"/>
          <w:szCs w:val="22"/>
        </w:rPr>
        <w:t>GERAN. The application of this feature to the GERAN PS domain can be summarized as follows:</w:t>
      </w:r>
    </w:p>
    <w:p w:rsidR="00BE31F7" w:rsidRPr="0007306C" w:rsidRDefault="00BE31F7" w:rsidP="00BE31F7">
      <w:pPr>
        <w:pStyle w:val="BodyText"/>
        <w:rPr>
          <w:sz w:val="22"/>
          <w:szCs w:val="22"/>
        </w:rPr>
      </w:pPr>
      <w:r w:rsidRPr="0007306C">
        <w:rPr>
          <w:sz w:val="22"/>
          <w:szCs w:val="22"/>
        </w:rPr>
        <w:t>Case 1:</w:t>
      </w:r>
    </w:p>
    <w:p w:rsidR="00BE31F7" w:rsidRPr="0007306C" w:rsidRDefault="00BE31F7" w:rsidP="00BE31F7">
      <w:pPr>
        <w:pStyle w:val="BodyText"/>
        <w:rPr>
          <w:sz w:val="22"/>
          <w:szCs w:val="22"/>
        </w:rPr>
      </w:pPr>
      <w:r w:rsidRPr="0007306C">
        <w:rPr>
          <w:sz w:val="22"/>
          <w:szCs w:val="22"/>
        </w:rPr>
        <w:t>In this case the BSS receives an uplink LLC PDU where the NRI portion of the TLLI provides routing information (i</w:t>
      </w:r>
      <w:r>
        <w:rPr>
          <w:sz w:val="22"/>
          <w:szCs w:val="22"/>
        </w:rPr>
        <w:t xml:space="preserve">.e. a </w:t>
      </w:r>
      <w:r w:rsidRPr="00C87940">
        <w:rPr>
          <w:sz w:val="22"/>
          <w:szCs w:val="22"/>
          <w:highlight w:val="cyan"/>
        </w:rPr>
        <w:t>Null-NRI/</w:t>
      </w:r>
      <w:r w:rsidRPr="0007306C">
        <w:rPr>
          <w:sz w:val="22"/>
          <w:szCs w:val="22"/>
        </w:rPr>
        <w:t>SGSN Group ID can be derived from the NRI).</w:t>
      </w:r>
    </w:p>
    <w:p w:rsidR="00BE31F7" w:rsidRPr="0007306C" w:rsidRDefault="00BE31F7" w:rsidP="00BE31F7">
      <w:pPr>
        <w:pStyle w:val="ListParagraph"/>
        <w:numPr>
          <w:ilvl w:val="0"/>
          <w:numId w:val="4"/>
        </w:numPr>
        <w:rPr>
          <w:rFonts w:ascii="Times New Roman" w:hAnsi="Times New Roman" w:cs="Times New Roman"/>
        </w:rPr>
      </w:pPr>
      <w:r w:rsidRPr="0007306C">
        <w:rPr>
          <w:rFonts w:ascii="Times New Roman" w:hAnsi="Times New Roman" w:cs="Times New Roman"/>
        </w:rPr>
        <w:t xml:space="preserve">The BSS conveys the LLC PDU to the corresponding SGSN within an UL-UNITDATA PDU that excludes the “Redirect Attempt Flag” IE. </w:t>
      </w:r>
    </w:p>
    <w:p w:rsidR="00BE31F7" w:rsidRPr="0007306C" w:rsidRDefault="00BE31F7" w:rsidP="00BE31F7">
      <w:pPr>
        <w:pStyle w:val="ListParagraph"/>
        <w:numPr>
          <w:ilvl w:val="0"/>
          <w:numId w:val="4"/>
        </w:numPr>
        <w:rPr>
          <w:rFonts w:ascii="Times New Roman" w:hAnsi="Times New Roman" w:cs="Times New Roman"/>
        </w:rPr>
      </w:pPr>
      <w:r w:rsidRPr="0007306C">
        <w:rPr>
          <w:rFonts w:ascii="Times New Roman" w:hAnsi="Times New Roman" w:cs="Times New Roman"/>
        </w:rPr>
        <w:t xml:space="preserve">If the SGSN cannot serve the corresponding MS it sends a DL-UNITDATA PDU that includes the “Redirection Completed” IE with outcome value “MS is not accepted” and a LLC-PDU (e.g. containing a GPRS Attach Reject). Upon receiving the DL-UNITDATA PDU the BSS shall disassociate the TLLI with the </w:t>
      </w:r>
      <w:r w:rsidRPr="00233C20">
        <w:rPr>
          <w:rFonts w:ascii="Times New Roman" w:hAnsi="Times New Roman" w:cs="Times New Roman"/>
        </w:rPr>
        <w:t>corresponding Null-NRI/SGSN Group ID. This may occur, for example, in the case of load balancing.</w:t>
      </w:r>
    </w:p>
    <w:p w:rsidR="00BE31F7" w:rsidRDefault="00BE31F7" w:rsidP="00BE31F7">
      <w:pPr>
        <w:rPr>
          <w:rFonts w:ascii="Times New Roman" w:eastAsia="Times New Roman" w:hAnsi="Times New Roman" w:cs="Times New Roman"/>
          <w:lang w:val="en-GB"/>
        </w:rPr>
      </w:pPr>
      <w:r>
        <w:br w:type="page"/>
      </w:r>
    </w:p>
    <w:p w:rsidR="00BE31F7" w:rsidRDefault="00BE31F7" w:rsidP="00BE31F7">
      <w:pPr>
        <w:pStyle w:val="BodyText"/>
        <w:rPr>
          <w:sz w:val="22"/>
          <w:szCs w:val="22"/>
        </w:rPr>
      </w:pPr>
      <w:r>
        <w:rPr>
          <w:sz w:val="22"/>
          <w:szCs w:val="22"/>
        </w:rPr>
        <w:lastRenderedPageBreak/>
        <w:t>Case 2:</w:t>
      </w:r>
    </w:p>
    <w:p w:rsidR="00BE31F7" w:rsidRPr="0007306C" w:rsidRDefault="00BE31F7" w:rsidP="00BE31F7">
      <w:pPr>
        <w:pStyle w:val="BodyText"/>
        <w:rPr>
          <w:sz w:val="22"/>
          <w:szCs w:val="22"/>
        </w:rPr>
      </w:pPr>
      <w:r w:rsidRPr="0007306C">
        <w:rPr>
          <w:sz w:val="22"/>
          <w:szCs w:val="22"/>
        </w:rPr>
        <w:t xml:space="preserve">In this case the BSS receives an uplink </w:t>
      </w:r>
      <w:r>
        <w:rPr>
          <w:sz w:val="22"/>
          <w:szCs w:val="22"/>
        </w:rPr>
        <w:t xml:space="preserve">initial </w:t>
      </w:r>
      <w:r w:rsidRPr="0007306C">
        <w:rPr>
          <w:sz w:val="22"/>
          <w:szCs w:val="22"/>
        </w:rPr>
        <w:t>LLC PDU where the NRI portion of the TLLI does not provide routing information (i.e. a Null-NRI/SGSN Group ID cannot be derived from the NRI).</w:t>
      </w:r>
    </w:p>
    <w:p w:rsidR="00BE31F7" w:rsidRPr="0007306C" w:rsidRDefault="00BE31F7" w:rsidP="00BE31F7">
      <w:pPr>
        <w:pStyle w:val="ListParagraph"/>
        <w:numPr>
          <w:ilvl w:val="0"/>
          <w:numId w:val="4"/>
        </w:numPr>
        <w:rPr>
          <w:rFonts w:ascii="Times New Roman" w:hAnsi="Times New Roman" w:cs="Times New Roman"/>
        </w:rPr>
      </w:pPr>
      <w:r w:rsidRPr="0007306C">
        <w:rPr>
          <w:rFonts w:ascii="Times New Roman" w:hAnsi="Times New Roman" w:cs="Times New Roman"/>
        </w:rPr>
        <w:t>The BSS conveys the uplink LLC PDU to an available SGSN within an UL-UNITDATA PDU that includes the “Redirect Attempt Flag” IE and the SGSN proceeds as follows:</w:t>
      </w:r>
    </w:p>
    <w:p w:rsidR="00BE31F7" w:rsidRPr="0007306C" w:rsidRDefault="00BE31F7" w:rsidP="00BE31F7">
      <w:pPr>
        <w:pStyle w:val="ListParagraph"/>
        <w:numPr>
          <w:ilvl w:val="1"/>
          <w:numId w:val="4"/>
        </w:numPr>
        <w:rPr>
          <w:rFonts w:ascii="Times New Roman" w:hAnsi="Times New Roman" w:cs="Times New Roman"/>
        </w:rPr>
      </w:pPr>
      <w:r w:rsidRPr="0007306C">
        <w:rPr>
          <w:rFonts w:ascii="Times New Roman" w:hAnsi="Times New Roman" w:cs="Times New Roman"/>
        </w:rPr>
        <w:t>If the LLC PDU contains IMSI then it can be used for device identification and acquiring “UE Usage Type” from the HSS.</w:t>
      </w:r>
    </w:p>
    <w:p w:rsidR="00BE31F7" w:rsidRPr="0007306C" w:rsidRDefault="00BE31F7" w:rsidP="00BE31F7">
      <w:pPr>
        <w:pStyle w:val="ListParagraph"/>
        <w:numPr>
          <w:ilvl w:val="1"/>
          <w:numId w:val="4"/>
        </w:numPr>
        <w:rPr>
          <w:rFonts w:ascii="Times New Roman" w:hAnsi="Times New Roman" w:cs="Times New Roman"/>
        </w:rPr>
      </w:pPr>
      <w:r w:rsidRPr="0007306C">
        <w:rPr>
          <w:rFonts w:ascii="Times New Roman" w:hAnsi="Times New Roman" w:cs="Times New Roman"/>
        </w:rPr>
        <w:t>If the LLC PDU contains NAS signaling (e.g. a GPRS Attach Request) wherein P-TMSI is included then it can be used for device identification and acquiring “UE Usage Type” from the HSS.</w:t>
      </w:r>
    </w:p>
    <w:p w:rsidR="00BE31F7" w:rsidRPr="0007306C" w:rsidRDefault="00BE31F7" w:rsidP="00BE31F7">
      <w:pPr>
        <w:pStyle w:val="ListParagraph"/>
        <w:numPr>
          <w:ilvl w:val="1"/>
          <w:numId w:val="4"/>
        </w:numPr>
        <w:rPr>
          <w:rFonts w:ascii="Times New Roman" w:hAnsi="Times New Roman" w:cs="Times New Roman"/>
        </w:rPr>
      </w:pPr>
      <w:r w:rsidRPr="0007306C">
        <w:rPr>
          <w:rFonts w:ascii="Times New Roman" w:hAnsi="Times New Roman" w:cs="Times New Roman"/>
        </w:rPr>
        <w:t xml:space="preserve">The SGSN uses the “UE Usage Type” (acquired from the HSS) to identify an appropriate CN node (i.e. a </w:t>
      </w:r>
      <w:r>
        <w:rPr>
          <w:rFonts w:ascii="Times New Roman" w:hAnsi="Times New Roman" w:cs="Times New Roman"/>
        </w:rPr>
        <w:t>Null-NRI/SGSN Group ID</w:t>
      </w:r>
      <w:r w:rsidRPr="0007306C">
        <w:rPr>
          <w:rFonts w:ascii="Times New Roman" w:hAnsi="Times New Roman" w:cs="Times New Roman"/>
        </w:rPr>
        <w:t>) and thereby determines if it can serve the MS.</w:t>
      </w:r>
    </w:p>
    <w:p w:rsidR="00BE31F7" w:rsidRPr="009D7159" w:rsidRDefault="00BE31F7" w:rsidP="00BE31F7">
      <w:pPr>
        <w:pStyle w:val="ListParagraph"/>
        <w:numPr>
          <w:ilvl w:val="0"/>
          <w:numId w:val="4"/>
        </w:numPr>
        <w:rPr>
          <w:rFonts w:ascii="Times New Roman" w:hAnsi="Times New Roman" w:cs="Times New Roman"/>
        </w:rPr>
      </w:pPr>
      <w:r w:rsidRPr="009D7159">
        <w:rPr>
          <w:rFonts w:ascii="Times New Roman" w:hAnsi="Times New Roman" w:cs="Times New Roman"/>
        </w:rPr>
        <w:t>If the SGSN determines that it can serve the MS it sends the BSS a DL-UNITDATA PDU that includes the “Redirection Completed” IE with outcome value set to "MS is accepted" or "MS is already registered" and an LLC-PDU” IE (e.g. containing a GPRS Attach Accept).</w:t>
      </w:r>
    </w:p>
    <w:p w:rsidR="00BE31F7" w:rsidRPr="009D7159" w:rsidRDefault="00BE31F7" w:rsidP="00BE31F7">
      <w:pPr>
        <w:pStyle w:val="ListParagraph"/>
        <w:numPr>
          <w:ilvl w:val="1"/>
          <w:numId w:val="4"/>
        </w:numPr>
        <w:rPr>
          <w:rFonts w:ascii="Times New Roman" w:hAnsi="Times New Roman" w:cs="Times New Roman"/>
        </w:rPr>
      </w:pPr>
      <w:r w:rsidRPr="009D7159">
        <w:rPr>
          <w:rFonts w:ascii="Times New Roman" w:hAnsi="Times New Roman" w:cs="Times New Roman"/>
        </w:rPr>
        <w:t>Upon receiving the DL-UNITDATA PDU the BSS shall terminate the Rerouting procedure and send the included LLC PDU to the UE.</w:t>
      </w:r>
    </w:p>
    <w:p w:rsidR="00BE31F7" w:rsidRPr="00233C20" w:rsidRDefault="00BE31F7" w:rsidP="00BE31F7">
      <w:pPr>
        <w:pStyle w:val="ListParagraph"/>
        <w:numPr>
          <w:ilvl w:val="1"/>
          <w:numId w:val="4"/>
        </w:numPr>
        <w:rPr>
          <w:rFonts w:ascii="Times New Roman" w:hAnsi="Times New Roman" w:cs="Times New Roman"/>
        </w:rPr>
      </w:pPr>
      <w:r w:rsidRPr="00233C20">
        <w:rPr>
          <w:rFonts w:ascii="Times New Roman" w:hAnsi="Times New Roman" w:cs="Times New Roman"/>
        </w:rPr>
        <w:t>The NAS signaling (GPRS Attach Accept, RAU Accept) provides the UE with a new P-TMSI value from which the BSS, at subsequent accesses from the same UE, can derive routing information.</w:t>
      </w:r>
    </w:p>
    <w:p w:rsidR="00BE31F7" w:rsidRPr="009D7159" w:rsidRDefault="00BE31F7" w:rsidP="00BE31F7">
      <w:pPr>
        <w:pStyle w:val="ListParagraph"/>
        <w:numPr>
          <w:ilvl w:val="0"/>
          <w:numId w:val="4"/>
        </w:numPr>
        <w:rPr>
          <w:rFonts w:ascii="Times New Roman" w:hAnsi="Times New Roman" w:cs="Times New Roman"/>
        </w:rPr>
      </w:pPr>
      <w:r w:rsidRPr="009D7159">
        <w:rPr>
          <w:rFonts w:ascii="Times New Roman" w:hAnsi="Times New Roman" w:cs="Times New Roman"/>
        </w:rPr>
        <w:t>If the SGSN determines that it cannot serve the MS it sends the BSS a DL-UNITDATA PDU that includes the “Redirection Indication” IE, the “</w:t>
      </w:r>
      <w:r>
        <w:rPr>
          <w:rFonts w:ascii="Times New Roman" w:hAnsi="Times New Roman" w:cs="Times New Roman"/>
        </w:rPr>
        <w:t>Null-NRI/</w:t>
      </w:r>
      <w:r w:rsidRPr="009D7159">
        <w:rPr>
          <w:rFonts w:ascii="Times New Roman" w:hAnsi="Times New Roman" w:cs="Times New Roman"/>
        </w:rPr>
        <w:t xml:space="preserve">SGSN Group ID” IE, the “UE Usage Type” IE,  the “Initial LLC PDU” IE,  the IMSI IE (if received unencrypted from the MS) and the “Additional P-TMSI” IE. </w:t>
      </w:r>
    </w:p>
    <w:p w:rsidR="00BE31F7" w:rsidRPr="009D7159" w:rsidRDefault="00BE31F7" w:rsidP="00BE31F7">
      <w:pPr>
        <w:pStyle w:val="ListParagraph"/>
        <w:numPr>
          <w:ilvl w:val="1"/>
          <w:numId w:val="4"/>
        </w:numPr>
        <w:rPr>
          <w:rFonts w:ascii="Times New Roman" w:hAnsi="Times New Roman" w:cs="Times New Roman"/>
        </w:rPr>
      </w:pPr>
      <w:r w:rsidRPr="009D7159">
        <w:rPr>
          <w:rFonts w:ascii="Times New Roman" w:hAnsi="Times New Roman" w:cs="Times New Roman"/>
        </w:rPr>
        <w:t>Upon receiving a DL-UNITDATA PDU the BSS attempts redirection by sending an UL-UNITDATA PDU to a SGSN determined using the “</w:t>
      </w:r>
      <w:r>
        <w:rPr>
          <w:rFonts w:ascii="Times New Roman" w:hAnsi="Times New Roman" w:cs="Times New Roman"/>
        </w:rPr>
        <w:t>Null-NRI/</w:t>
      </w:r>
      <w:r w:rsidRPr="009D7159">
        <w:rPr>
          <w:rFonts w:ascii="Times New Roman" w:hAnsi="Times New Roman" w:cs="Times New Roman"/>
        </w:rPr>
        <w:t>SGSN Group ID” and possibly the “Additional P-TMSI”.</w:t>
      </w:r>
    </w:p>
    <w:p w:rsidR="00BE31F7" w:rsidRPr="009D7159" w:rsidRDefault="00BE31F7" w:rsidP="00BE31F7">
      <w:pPr>
        <w:pStyle w:val="ListParagraph"/>
        <w:numPr>
          <w:ilvl w:val="1"/>
          <w:numId w:val="4"/>
        </w:numPr>
        <w:rPr>
          <w:rFonts w:ascii="Times New Roman" w:hAnsi="Times New Roman" w:cs="Times New Roman"/>
        </w:rPr>
      </w:pPr>
      <w:r w:rsidRPr="009D7159">
        <w:rPr>
          <w:rFonts w:ascii="Times New Roman" w:hAnsi="Times New Roman" w:cs="Times New Roman"/>
        </w:rPr>
        <w:t>The UL-UNITDATA PDU includes the “Initial LLC PDU” IE, the “</w:t>
      </w:r>
      <w:r>
        <w:rPr>
          <w:rFonts w:ascii="Times New Roman" w:hAnsi="Times New Roman" w:cs="Times New Roman"/>
        </w:rPr>
        <w:t>Null-NRI/</w:t>
      </w:r>
      <w:r w:rsidRPr="009D7159">
        <w:rPr>
          <w:rFonts w:ascii="Times New Roman" w:hAnsi="Times New Roman" w:cs="Times New Roman"/>
        </w:rPr>
        <w:t>SGSN Group ID” IE, the “UE usage type” IE, the “IMSI IE” (if available).</w:t>
      </w:r>
    </w:p>
    <w:p w:rsidR="00BE31F7" w:rsidRPr="00EC035C" w:rsidRDefault="00BE31F7" w:rsidP="00BE31F7">
      <w:pPr>
        <w:pStyle w:val="BodyText"/>
        <w:numPr>
          <w:ilvl w:val="0"/>
          <w:numId w:val="21"/>
        </w:numPr>
        <w:spacing w:after="120"/>
        <w:rPr>
          <w:rFonts w:ascii="Arial" w:hAnsi="Arial" w:cs="Arial"/>
          <w:sz w:val="36"/>
          <w:szCs w:val="36"/>
        </w:rPr>
      </w:pPr>
      <w:r>
        <w:rPr>
          <w:rFonts w:ascii="Arial" w:hAnsi="Arial" w:cs="Arial"/>
          <w:sz w:val="36"/>
          <w:szCs w:val="36"/>
        </w:rPr>
        <w:t>Specification Impacts (TS 48.018)</w:t>
      </w:r>
    </w:p>
    <w:p w:rsidR="00BE31F7" w:rsidRDefault="00BE31F7" w:rsidP="00BE31F7">
      <w:pPr>
        <w:pStyle w:val="ListParagraph"/>
        <w:numPr>
          <w:ilvl w:val="0"/>
          <w:numId w:val="4"/>
        </w:numPr>
        <w:rPr>
          <w:rFonts w:ascii="Times New Roman" w:hAnsi="Times New Roman" w:cs="Times New Roman"/>
        </w:rPr>
      </w:pPr>
      <w:r w:rsidRPr="00312A71">
        <w:rPr>
          <w:rFonts w:ascii="Times New Roman" w:hAnsi="Times New Roman" w:cs="Times New Roman"/>
        </w:rPr>
        <w:t xml:space="preserve">The DL-UNITDATA PDU </w:t>
      </w:r>
      <w:r>
        <w:rPr>
          <w:rFonts w:ascii="Times New Roman" w:hAnsi="Times New Roman" w:cs="Times New Roman"/>
        </w:rPr>
        <w:t xml:space="preserve">shall </w:t>
      </w:r>
      <w:r w:rsidRPr="00312A71">
        <w:rPr>
          <w:rFonts w:ascii="Times New Roman" w:hAnsi="Times New Roman" w:cs="Times New Roman"/>
        </w:rPr>
        <w:t>be enhanced</w:t>
      </w:r>
      <w:r>
        <w:rPr>
          <w:rFonts w:ascii="Times New Roman" w:hAnsi="Times New Roman" w:cs="Times New Roman"/>
        </w:rPr>
        <w:t xml:space="preserve"> to support a new optional “</w:t>
      </w:r>
      <w:r w:rsidRPr="00C87940">
        <w:rPr>
          <w:rFonts w:ascii="Times New Roman" w:hAnsi="Times New Roman" w:cs="Times New Roman"/>
          <w:highlight w:val="cyan"/>
        </w:rPr>
        <w:t>Null-NRI/SGSN Group ID</w:t>
      </w:r>
      <w:r w:rsidRPr="00312A71">
        <w:rPr>
          <w:rFonts w:ascii="Times New Roman" w:hAnsi="Times New Roman" w:cs="Times New Roman"/>
        </w:rPr>
        <w:t xml:space="preserve">” IE </w:t>
      </w:r>
      <w:r>
        <w:rPr>
          <w:rFonts w:ascii="Times New Roman" w:hAnsi="Times New Roman" w:cs="Times New Roman"/>
        </w:rPr>
        <w:t>(i.e. SGSN Group ID or Null-NRI</w:t>
      </w:r>
      <w:r w:rsidRPr="001A302A">
        <w:rPr>
          <w:rFonts w:ascii="Times New Roman" w:hAnsi="Times New Roman" w:cs="Times New Roman"/>
        </w:rPr>
        <w:t>)</w:t>
      </w:r>
      <w:r>
        <w:rPr>
          <w:rFonts w:ascii="Times New Roman" w:hAnsi="Times New Roman" w:cs="Times New Roman"/>
        </w:rPr>
        <w:t>,</w:t>
      </w:r>
      <w:r w:rsidRPr="001A302A">
        <w:rPr>
          <w:rFonts w:ascii="Times New Roman" w:hAnsi="Times New Roman" w:cs="Times New Roman"/>
        </w:rPr>
        <w:t xml:space="preserve"> “UE Usage Type” IE and “Additional P-TMSI” since currently there is means to send this information from the SGSN to a BSS. </w:t>
      </w:r>
    </w:p>
    <w:p w:rsidR="00BE31F7" w:rsidRPr="001A302A" w:rsidRDefault="00BE31F7" w:rsidP="00BE31F7">
      <w:pPr>
        <w:pStyle w:val="ListParagraph"/>
        <w:numPr>
          <w:ilvl w:val="0"/>
          <w:numId w:val="4"/>
        </w:numPr>
        <w:rPr>
          <w:rFonts w:ascii="Times New Roman" w:hAnsi="Times New Roman" w:cs="Times New Roman"/>
        </w:rPr>
      </w:pPr>
      <w:r>
        <w:rPr>
          <w:rFonts w:ascii="Times New Roman" w:hAnsi="Times New Roman" w:cs="Times New Roman"/>
        </w:rPr>
        <w:t>The UL-</w:t>
      </w:r>
      <w:r w:rsidRPr="001A302A">
        <w:rPr>
          <w:rFonts w:ascii="Times New Roman" w:hAnsi="Times New Roman" w:cs="Times New Roman"/>
        </w:rPr>
        <w:t>UNITDATA PDU shall be enhanced to support new optional “</w:t>
      </w:r>
      <w:r w:rsidRPr="00C87940">
        <w:rPr>
          <w:rFonts w:ascii="Times New Roman" w:hAnsi="Times New Roman" w:cs="Times New Roman"/>
          <w:highlight w:val="cyan"/>
        </w:rPr>
        <w:t>Null-NRI/SGSN Group ID</w:t>
      </w:r>
      <w:r w:rsidRPr="001A302A">
        <w:rPr>
          <w:rFonts w:ascii="Times New Roman" w:hAnsi="Times New Roman" w:cs="Times New Roman"/>
        </w:rPr>
        <w:t xml:space="preserve">” IE (i.e. SGSN Group ID or Null-NRI) and “UE Usage Type” IE. </w:t>
      </w:r>
    </w:p>
    <w:p w:rsidR="00BE31F7" w:rsidRDefault="00BE31F7" w:rsidP="00BE31F7">
      <w:pPr>
        <w:pStyle w:val="ListParagraph"/>
        <w:numPr>
          <w:ilvl w:val="0"/>
          <w:numId w:val="4"/>
        </w:numPr>
        <w:rPr>
          <w:rFonts w:ascii="Times New Roman" w:hAnsi="Times New Roman" w:cs="Times New Roman"/>
        </w:rPr>
      </w:pPr>
      <w:r w:rsidRPr="001A302A">
        <w:rPr>
          <w:rFonts w:ascii="Times New Roman" w:hAnsi="Times New Roman" w:cs="Times New Roman"/>
        </w:rPr>
        <w:t>A definition of the “</w:t>
      </w:r>
      <w:r w:rsidRPr="00C87940">
        <w:rPr>
          <w:rFonts w:ascii="Times New Roman" w:hAnsi="Times New Roman" w:cs="Times New Roman"/>
          <w:highlight w:val="cyan"/>
        </w:rPr>
        <w:t>Null-NRI/SGSN Group ID</w:t>
      </w:r>
      <w:r w:rsidRPr="001A302A">
        <w:rPr>
          <w:rFonts w:ascii="Times New Roman" w:hAnsi="Times New Roman" w:cs="Times New Roman"/>
        </w:rPr>
        <w:t xml:space="preserve">” IE and the “UE Usage Type” IE needs </w:t>
      </w:r>
      <w:r>
        <w:rPr>
          <w:rFonts w:ascii="Times New Roman" w:hAnsi="Times New Roman" w:cs="Times New Roman"/>
        </w:rPr>
        <w:t>to be provided.</w:t>
      </w:r>
    </w:p>
    <w:p w:rsidR="00BE31F7" w:rsidRDefault="00BE31F7" w:rsidP="00BE31F7">
      <w:pPr>
        <w:pStyle w:val="ListParagraph"/>
        <w:numPr>
          <w:ilvl w:val="0"/>
          <w:numId w:val="4"/>
        </w:numPr>
        <w:rPr>
          <w:rFonts w:ascii="Times New Roman" w:hAnsi="Times New Roman" w:cs="Times New Roman"/>
        </w:rPr>
      </w:pPr>
      <w:r>
        <w:rPr>
          <w:rFonts w:ascii="Times New Roman" w:hAnsi="Times New Roman" w:cs="Times New Roman"/>
        </w:rPr>
        <w:t xml:space="preserve">The rerouting procedure needs to be updated to support Rel-13 DECOR. </w:t>
      </w:r>
    </w:p>
    <w:p w:rsidR="00BE31F7" w:rsidRPr="00B03C86" w:rsidRDefault="00BE31F7" w:rsidP="00BE31F7">
      <w:pPr>
        <w:pStyle w:val="ListParagraph"/>
        <w:spacing w:after="0"/>
        <w:rPr>
          <w:rFonts w:ascii="Times New Roman" w:hAnsi="Times New Roman" w:cs="Times New Roman"/>
        </w:rPr>
      </w:pPr>
    </w:p>
    <w:p w:rsidR="00BE31F7" w:rsidRDefault="00BE31F7" w:rsidP="00BE31F7">
      <w:pPr>
        <w:rPr>
          <w:rFonts w:ascii="Arial" w:eastAsia="Times New Roman" w:hAnsi="Arial" w:cs="Arial"/>
          <w:sz w:val="36"/>
          <w:szCs w:val="36"/>
          <w:highlight w:val="lightGray"/>
          <w:lang w:val="en-GB"/>
        </w:rPr>
      </w:pPr>
      <w:r>
        <w:rPr>
          <w:rFonts w:ascii="Arial" w:hAnsi="Arial" w:cs="Arial"/>
          <w:sz w:val="36"/>
          <w:szCs w:val="36"/>
          <w:highlight w:val="lightGray"/>
        </w:rPr>
        <w:br w:type="page"/>
      </w:r>
    </w:p>
    <w:p w:rsidR="00BE31F7" w:rsidRPr="00EC035C" w:rsidRDefault="00BE31F7" w:rsidP="00BE31F7">
      <w:pPr>
        <w:pStyle w:val="BodyText"/>
        <w:numPr>
          <w:ilvl w:val="0"/>
          <w:numId w:val="21"/>
        </w:numPr>
        <w:spacing w:after="120"/>
        <w:rPr>
          <w:rFonts w:ascii="Arial" w:hAnsi="Arial" w:cs="Arial"/>
          <w:sz w:val="36"/>
          <w:szCs w:val="36"/>
        </w:rPr>
      </w:pPr>
      <w:bookmarkStart w:id="0" w:name="_GoBack"/>
      <w:r>
        <w:rPr>
          <w:rFonts w:ascii="Arial" w:hAnsi="Arial" w:cs="Arial"/>
          <w:sz w:val="36"/>
          <w:szCs w:val="36"/>
        </w:rPr>
        <w:lastRenderedPageBreak/>
        <w:t>Conclusion</w:t>
      </w:r>
    </w:p>
    <w:bookmarkEnd w:id="0"/>
    <w:p w:rsidR="00BE31F7" w:rsidRDefault="00BE31F7" w:rsidP="00BE31F7">
      <w:pPr>
        <w:pStyle w:val="BodyText"/>
        <w:rPr>
          <w:sz w:val="22"/>
          <w:szCs w:val="22"/>
        </w:rPr>
      </w:pPr>
      <w:r>
        <w:rPr>
          <w:sz w:val="22"/>
          <w:szCs w:val="22"/>
        </w:rPr>
        <w:t xml:space="preserve">Proceed with implementing GERAN </w:t>
      </w:r>
      <w:r w:rsidRPr="00C87940">
        <w:rPr>
          <w:sz w:val="22"/>
          <w:szCs w:val="22"/>
          <w:highlight w:val="cyan"/>
        </w:rPr>
        <w:t>Rel-14</w:t>
      </w:r>
      <w:r>
        <w:rPr>
          <w:sz w:val="22"/>
          <w:szCs w:val="22"/>
        </w:rPr>
        <w:t xml:space="preserve"> support for Rel-13 DECOR as described in section 3.</w:t>
      </w:r>
    </w:p>
    <w:p w:rsidR="00BE31F7" w:rsidRDefault="00BE31F7" w:rsidP="00BE31F7">
      <w:pPr>
        <w:pStyle w:val="BodyText"/>
        <w:rPr>
          <w:sz w:val="22"/>
          <w:szCs w:val="22"/>
        </w:rPr>
      </w:pPr>
    </w:p>
    <w:p w:rsidR="00BE31F7" w:rsidRPr="00ED4AC3" w:rsidRDefault="00BE31F7" w:rsidP="00BE31F7">
      <w:pPr>
        <w:pStyle w:val="BodyText"/>
        <w:spacing w:after="120"/>
        <w:rPr>
          <w:rFonts w:ascii="Arial" w:hAnsi="Arial" w:cs="Arial"/>
          <w:sz w:val="36"/>
          <w:szCs w:val="36"/>
        </w:rPr>
      </w:pPr>
      <w:r w:rsidRPr="00ED4AC3">
        <w:rPr>
          <w:rFonts w:ascii="Arial" w:hAnsi="Arial" w:cs="Arial"/>
          <w:sz w:val="36"/>
          <w:szCs w:val="36"/>
        </w:rPr>
        <w:t xml:space="preserve">Annex </w:t>
      </w:r>
      <w:proofErr w:type="gramStart"/>
      <w:r w:rsidRPr="00ED4AC3">
        <w:rPr>
          <w:rFonts w:ascii="Arial" w:hAnsi="Arial" w:cs="Arial"/>
          <w:sz w:val="36"/>
          <w:szCs w:val="36"/>
        </w:rPr>
        <w:t>A</w:t>
      </w:r>
      <w:proofErr w:type="gramEnd"/>
      <w:r>
        <w:rPr>
          <w:rFonts w:ascii="Arial" w:hAnsi="Arial" w:cs="Arial"/>
          <w:sz w:val="36"/>
          <w:szCs w:val="36"/>
        </w:rPr>
        <w:t xml:space="preserve"> (extracts from TS 23.401 v13.7.0)</w:t>
      </w:r>
    </w:p>
    <w:p w:rsidR="00BE31F7" w:rsidRPr="00DE58A8" w:rsidRDefault="00BE31F7" w:rsidP="00BE31F7">
      <w:pPr>
        <w:rPr>
          <w:rFonts w:ascii="Arial" w:hAnsi="Arial" w:cs="Arial"/>
          <w:b/>
          <w:sz w:val="28"/>
          <w:szCs w:val="28"/>
        </w:rPr>
      </w:pPr>
      <w:bookmarkStart w:id="1" w:name="_Toc454268394"/>
      <w:r w:rsidRPr="00DE58A8">
        <w:rPr>
          <w:rFonts w:ascii="Arial" w:hAnsi="Arial" w:cs="Arial"/>
          <w:b/>
          <w:sz w:val="28"/>
          <w:szCs w:val="28"/>
        </w:rPr>
        <w:t>4.3.25</w:t>
      </w:r>
      <w:r w:rsidRPr="00DE58A8">
        <w:rPr>
          <w:rFonts w:ascii="Arial" w:hAnsi="Arial" w:cs="Arial"/>
          <w:b/>
          <w:sz w:val="28"/>
          <w:szCs w:val="28"/>
        </w:rPr>
        <w:tab/>
        <w:t>Dedicated Core Networks (DCNs)</w:t>
      </w:r>
      <w:bookmarkEnd w:id="1"/>
    </w:p>
    <w:p w:rsidR="00BE31F7" w:rsidRPr="00DE58A8" w:rsidRDefault="00BE31F7" w:rsidP="00BE31F7">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i w:val="0"/>
          <w:iCs w:val="0"/>
          <w:color w:val="auto"/>
          <w:sz w:val="24"/>
          <w:szCs w:val="20"/>
          <w:lang w:val="en-GB" w:eastAsia="ja-JP"/>
        </w:rPr>
      </w:pPr>
      <w:bookmarkStart w:id="2" w:name="_Toc454268395"/>
      <w:r w:rsidRPr="00DE58A8">
        <w:rPr>
          <w:rFonts w:ascii="Arial" w:eastAsia="Times New Roman" w:hAnsi="Arial" w:cs="Times New Roman"/>
          <w:b w:val="0"/>
          <w:bCs w:val="0"/>
          <w:i w:val="0"/>
          <w:iCs w:val="0"/>
          <w:color w:val="auto"/>
          <w:sz w:val="24"/>
          <w:szCs w:val="20"/>
          <w:lang w:val="en-GB" w:eastAsia="ja-JP"/>
        </w:rPr>
        <w:t>4.3.25.1</w:t>
      </w:r>
      <w:r w:rsidRPr="00DE58A8">
        <w:rPr>
          <w:rFonts w:ascii="Arial" w:eastAsia="Times New Roman" w:hAnsi="Arial" w:cs="Times New Roman"/>
          <w:b w:val="0"/>
          <w:bCs w:val="0"/>
          <w:i w:val="0"/>
          <w:iCs w:val="0"/>
          <w:color w:val="auto"/>
          <w:sz w:val="24"/>
          <w:szCs w:val="20"/>
          <w:lang w:val="en-GB" w:eastAsia="ja-JP"/>
        </w:rPr>
        <w:tab/>
        <w:t>General</w:t>
      </w:r>
      <w:bookmarkEnd w:id="2"/>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This feature enables an operator to deploy multiple DCNs within a PLMN with each DCN consisting of one or multiple CN nodes. Each DCN may be dedicated to serve specific type(s) of subscriber. This is an optional feature and enables DCNs to be deployed for one or multiple RATs (e.g. GERAN, UTRAN, E-UTRAN, WB-E-UTRAN and NB-</w:t>
      </w:r>
      <w:proofErr w:type="spellStart"/>
      <w:r w:rsidRPr="00DE58A8">
        <w:rPr>
          <w:rFonts w:ascii="Times New Roman" w:eastAsia="Times New Roman" w:hAnsi="Times New Roman" w:cs="Times New Roman"/>
          <w:sz w:val="20"/>
          <w:szCs w:val="20"/>
          <w:lang w:val="en-GB" w:eastAsia="ja-JP"/>
        </w:rPr>
        <w:t>IoT</w:t>
      </w:r>
      <w:proofErr w:type="spellEnd"/>
      <w:r w:rsidRPr="00DE58A8">
        <w:rPr>
          <w:rFonts w:ascii="Times New Roman" w:eastAsia="Times New Roman" w:hAnsi="Times New Roman" w:cs="Times New Roman"/>
          <w:sz w:val="20"/>
          <w:szCs w:val="20"/>
          <w:lang w:val="en-GB" w:eastAsia="ja-JP"/>
        </w:rPr>
        <w:t>). There can be several motivations for deploying DCNs, e.g. to provide DCNs with specific characteristics/functions or scaling, to isolate specific UEs or subscribers (e.g. M2M subscribers, subscribers belonging to a specific enterprise or separate administrative domain, etc.).</w:t>
      </w:r>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A DCN comprises of one or more MME/SGSN and it may comprise of one or more SGW/PGW/PCRF. This feature enables subscribers to be allocated to and served by a DCN based on subscription information ("UE Usage Type"). The feature requires no specific UE functionality, i.e. it works also with UEs of earlier releases.</w:t>
      </w:r>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The main specific functions are for routing and maintaining UEs in their respective DCN. The following deployment scenarios are supported for DCN:</w:t>
      </w:r>
    </w:p>
    <w:p w:rsidR="00BE31F7" w:rsidRDefault="00BE31F7" w:rsidP="00BE31F7">
      <w:pPr>
        <w:pStyle w:val="B1"/>
      </w:pPr>
      <w:r>
        <w:t>-</w:t>
      </w:r>
      <w:r>
        <w:tab/>
        <w:t>DCNs may be deployed to support one RAT only, (e.g. only dedicated MMEs are deployed to support E-UTRAN and dedicated SGSNs are not deployed), to support multiple RATs, or to support all RATs.</w:t>
      </w:r>
    </w:p>
    <w:p w:rsidR="00BE31F7" w:rsidRDefault="00BE31F7" w:rsidP="00BE31F7">
      <w:pPr>
        <w:pStyle w:val="B1"/>
      </w:pPr>
      <w:r>
        <w:t>-</w:t>
      </w:r>
      <w:r>
        <w:tab/>
        <w:t xml:space="preserve">Networks deploying DCNs may have a default DCN, which is managing UEs for which a DCN is not available or if </w:t>
      </w:r>
      <w:proofErr w:type="spellStart"/>
      <w:r>
        <w:t>tsufficient</w:t>
      </w:r>
      <w:proofErr w:type="spellEnd"/>
      <w:r>
        <w:t xml:space="preserve"> information is not available to assign a UE to a DCN. One or multiple DCNs may be deployed together with a default DCN that all share the same RAN.</w:t>
      </w:r>
    </w:p>
    <w:p w:rsidR="00BE31F7" w:rsidRDefault="00BE31F7" w:rsidP="00BE31F7">
      <w:pPr>
        <w:pStyle w:val="B1"/>
      </w:pPr>
      <w:r>
        <w:t>-</w:t>
      </w:r>
      <w:r>
        <w:tab/>
        <w:t>The architecture supports scenarios where the DCN is only deployed in a part of the PLMN e.g. only for one RAT or only in a part of the PLMN area. Such heterogeneous or partial deployment of DCNs may, depending on operator deployment and configuration, result in service with different characteristics or functionality, depending on whether the UE is inside or outside the service area or RAT that supports the DCN.</w:t>
      </w:r>
    </w:p>
    <w:p w:rsidR="00BE31F7" w:rsidRDefault="00BE31F7" w:rsidP="00BE31F7">
      <w:pPr>
        <w:pStyle w:val="NO"/>
      </w:pPr>
      <w:r>
        <w:t>NOTE 1:</w:t>
      </w:r>
      <w:r>
        <w:tab/>
        <w:t>Heterogeneous or partial deployment of DCNs may result in increased occurrence of UEs first being served by a CN node in the default DCN and then being redirected to a CN node in the DCN that serves the UE when the UE moves from areas outside of DCN coverage to an area of DCN coverage. It may also result in an increased re-attach rate in the network. As this has impacts on the required capacity of the default CN nodes deployed at edge of DCN coverage, it is not recommended to deploy DCNs heterogeneously or partially.</w:t>
      </w:r>
    </w:p>
    <w:p w:rsidR="00BE31F7" w:rsidRDefault="00BE31F7" w:rsidP="00BE31F7">
      <w:pPr>
        <w:pStyle w:val="B1"/>
      </w:pPr>
      <w:r>
        <w:t>-</w:t>
      </w:r>
      <w:r>
        <w:tab/>
        <w:t>Even if the DCN is not deployed to serve a particular RAT or service area of PLMN, the UE in that RAT or service area may still be served by a PGW from the DCN.</w:t>
      </w:r>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High level overview for supporting DCNs is provided below. Details are captured in appropriate clauses of this specification, TS 23.060 [7] and TS 23.236 [30].</w:t>
      </w:r>
    </w:p>
    <w:p w:rsidR="00BE31F7" w:rsidRDefault="00BE31F7" w:rsidP="00BE31F7">
      <w:pPr>
        <w:pStyle w:val="B1"/>
      </w:pPr>
      <w:r>
        <w:t>-</w:t>
      </w:r>
      <w:r>
        <w:tab/>
        <w:t xml:space="preserve">An optional subscription information parameter ("UE Usage Type") is used in the selection of a DCN. An operator configures which of his DCN(s) serves which UE Usage Type(s). Multiple UE Usage Types can be served by the same DCN. The HSS provides the "UE Usage Type" value in the subscription information of the UE to the MME/SGSN. The serving network selects the DCN based on the operator configured (UE Usage Type to DCN) mapping, other locally configured operator's policies and the UE related context </w:t>
      </w:r>
      <w:r>
        <w:lastRenderedPageBreak/>
        <w:t>information available at the serving network, e.g. information about roaming. Both standardized and operator specific values for UE Usage Type are possible.</w:t>
      </w:r>
    </w:p>
    <w:p w:rsidR="00BE31F7" w:rsidRDefault="00BE31F7" w:rsidP="00BE31F7">
      <w:pPr>
        <w:pStyle w:val="B1"/>
      </w:pPr>
      <w:r>
        <w:t>-</w:t>
      </w:r>
      <w:r>
        <w:tab/>
        <w:t>If the configuration shows no DCN for the specific "UE Usage Type" value in the subscription information, then the serving MME/SGSN serves the UE by the default DCN or selects a DCN using serving operator specific policies.</w:t>
      </w:r>
    </w:p>
    <w:p w:rsidR="00BE31F7" w:rsidRDefault="00BE31F7" w:rsidP="00BE31F7">
      <w:pPr>
        <w:pStyle w:val="B1"/>
      </w:pPr>
      <w:r>
        <w:t>-</w:t>
      </w:r>
      <w:r>
        <w:tab/>
        <w:t>The "UE Usage Type" is associated with the UE (describing its usage characteristic), i.e. there is only one UE Usage Type" per UE subscription.</w:t>
      </w:r>
    </w:p>
    <w:p w:rsidR="00BE31F7" w:rsidRDefault="00BE31F7" w:rsidP="00BE31F7">
      <w:pPr>
        <w:pStyle w:val="B1"/>
      </w:pPr>
      <w:r>
        <w:t>-</w:t>
      </w:r>
      <w:r>
        <w:tab/>
        <w:t>For each DCN, one or more CN nodes may be configured as part of a pool.</w:t>
      </w:r>
    </w:p>
    <w:p w:rsidR="00BE31F7" w:rsidRDefault="00BE31F7" w:rsidP="00BE31F7">
      <w:pPr>
        <w:pStyle w:val="B1"/>
      </w:pPr>
      <w:r>
        <w:t>-</w:t>
      </w:r>
      <w:r>
        <w:tab/>
        <w:t>For MME, the MMEGI(s) identifies a DCN within the PLMN. For SGSNs, a group identifier(s) identifies a DCN within the PLMN. That is, the group of SGSNs that belong to a DCN within a PLMN. This identifier may have the same format as NRI (e.g. an NRI value that does not identify a specific SGSN node in the serving area) in which case it is called "Null-NRI" or it may have a format independent of NRI, in which case it is called "SGSN Group ID". The "Null-NRI" or "SGSN Group ID" is provided by an SGSN to RAN which triggers the NNSF procedure to select an SGSN from the group of SGSNs corresponding to the Null-NRI/SGSN Group ID (see clause 5.19.1).</w:t>
      </w:r>
    </w:p>
    <w:p w:rsidR="00BE31F7" w:rsidRDefault="00BE31F7" w:rsidP="00BE31F7">
      <w:pPr>
        <w:pStyle w:val="NO"/>
      </w:pPr>
      <w:r>
        <w:t>NOTE 2:</w:t>
      </w:r>
      <w:r>
        <w:tab/>
        <w:t>SGSN Group IDs enable to handle deployment scenarios where in a service area all NRI values are allocated to SGSNs and hence no NRI value remains that can be used as Null-NRI.</w:t>
      </w:r>
    </w:p>
    <w:p w:rsidR="00BE31F7" w:rsidRDefault="00BE31F7" w:rsidP="00BE31F7">
      <w:pPr>
        <w:pStyle w:val="B1"/>
      </w:pPr>
      <w:r>
        <w:t>-</w:t>
      </w:r>
      <w:r>
        <w:tab/>
        <w:t>The dedicated MME/SGSN that serves the UE selects a dedicated S-GW and P-GW based on UE Usage Type.</w:t>
      </w:r>
    </w:p>
    <w:p w:rsidR="00BE31F7" w:rsidRDefault="00BE31F7" w:rsidP="00BE31F7">
      <w:pPr>
        <w:pStyle w:val="B1"/>
      </w:pPr>
      <w:r>
        <w:t>-</w:t>
      </w:r>
      <w:r>
        <w:tab/>
        <w:t>At initial access to the network if sufficient information is not available for RAN to select a specific DCN, the RAN may selects a CN node from the default DCN. A redirection to another DCN may then be required.</w:t>
      </w:r>
    </w:p>
    <w:p w:rsidR="00BE31F7" w:rsidRDefault="00BE31F7" w:rsidP="00BE31F7">
      <w:pPr>
        <w:pStyle w:val="B1"/>
      </w:pPr>
      <w:r>
        <w:t>-</w:t>
      </w:r>
      <w:r>
        <w:tab/>
        <w:t>To redirect a UE from one DCN to a different DCN, the redirection procedure via RAN, described in clause 5.19.1, is used to forward the NAS message of the UE to the target DCN.</w:t>
      </w:r>
    </w:p>
    <w:p w:rsidR="00BE31F7" w:rsidRDefault="00BE31F7" w:rsidP="00BE31F7">
      <w:pPr>
        <w:pStyle w:val="B1"/>
      </w:pPr>
      <w:r>
        <w:t>-</w:t>
      </w:r>
      <w:r>
        <w:tab/>
        <w:t>All selection functions are aware of DCN(s), including the network node selection function (NNSF) of RAN nodes, for selecting and maintaining the appropriate DCN for the UEs.</w:t>
      </w:r>
    </w:p>
    <w:p w:rsidR="00BE31F7" w:rsidRDefault="00BE31F7" w:rsidP="00BE31F7">
      <w:pPr>
        <w:ind w:left="1440" w:hanging="1440"/>
        <w:rPr>
          <w:rFonts w:ascii="Arial" w:hAnsi="Arial" w:cs="Arial"/>
          <w:b/>
          <w:sz w:val="28"/>
          <w:szCs w:val="28"/>
        </w:rPr>
      </w:pPr>
      <w:bookmarkStart w:id="3" w:name="_Toc454268649"/>
      <w:bookmarkStart w:id="4" w:name="_Toc454268650"/>
    </w:p>
    <w:p w:rsidR="00BE31F7" w:rsidRPr="00DE58A8" w:rsidRDefault="00BE31F7" w:rsidP="00BE31F7">
      <w:pPr>
        <w:ind w:left="1440" w:hanging="1440"/>
        <w:rPr>
          <w:rFonts w:ascii="Arial" w:hAnsi="Arial" w:cs="Arial"/>
          <w:b/>
          <w:sz w:val="28"/>
          <w:szCs w:val="28"/>
        </w:rPr>
      </w:pPr>
      <w:r w:rsidRPr="00DE58A8">
        <w:rPr>
          <w:rFonts w:ascii="Arial" w:hAnsi="Arial" w:cs="Arial"/>
          <w:b/>
          <w:sz w:val="28"/>
          <w:szCs w:val="28"/>
        </w:rPr>
        <w:t>5.19.1</w:t>
      </w:r>
      <w:r w:rsidRPr="00DE58A8">
        <w:rPr>
          <w:rFonts w:ascii="Arial" w:hAnsi="Arial" w:cs="Arial"/>
          <w:b/>
          <w:sz w:val="28"/>
          <w:szCs w:val="28"/>
        </w:rPr>
        <w:tab/>
        <w:t>NAS Message Redirection Procedure</w:t>
      </w:r>
      <w:bookmarkEnd w:id="3"/>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When DCNs are used, these steps are used to reroute a NAS message (and thereby a UE) from one CN node to another CN node during Attach, TAU or RAU procedure. These steps are also used by the MME/SGSN or HSS initiated Dedicated Core Network Reselection procedure in clause 5.19.3.</w:t>
      </w:r>
    </w:p>
    <w:p w:rsidR="00BE31F7" w:rsidRDefault="00BE31F7" w:rsidP="00BE31F7">
      <w:pPr>
        <w:pStyle w:val="TH"/>
      </w:pPr>
      <w:r w:rsidRPr="00A146A8">
        <w:object w:dxaOrig="9657" w:dyaOrig="2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42.5pt" o:ole="">
            <v:imagedata r:id="rId7" o:title=""/>
          </v:shape>
          <o:OLEObject Type="Embed" ProgID="Word.Picture.8" ShapeID="_x0000_i1025" DrawAspect="Content" ObjectID="_1533595571" r:id="rId8"/>
        </w:object>
      </w:r>
    </w:p>
    <w:p w:rsidR="00BE31F7" w:rsidRDefault="00BE31F7" w:rsidP="00BE31F7">
      <w:pPr>
        <w:pStyle w:val="TF"/>
      </w:pPr>
      <w:r>
        <w:t>Figure 5.19.1-1: NAS Message Redirection Procedure</w:t>
      </w:r>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The procedure is started when a first new MME/SGSN decides to move the handling of an Attach Request, TAU Request or RAU Request to another CN node.</w:t>
      </w:r>
    </w:p>
    <w:p w:rsidR="00BE31F7" w:rsidRDefault="00BE31F7" w:rsidP="00BE31F7">
      <w:pPr>
        <w:pStyle w:val="B1"/>
      </w:pPr>
      <w:r>
        <w:t>1.</w:t>
      </w:r>
      <w:r>
        <w:tab/>
        <w:t>The first new MME/SGSN sends a Reroute NAS Message Request (original RAN message, reroute parameters, Additional GUTI/P-TMSI, UE Usage Type, and optionally the IMSI) to the RAN Node. The reroute parameter is a MMEGI (for E-UTRAN) or Null-NRI/SGSN Group ID (for UTRAN/GERAN) corresponding to the DCN that corresponds to the UE Usage Type. A UE provided Additional GUTI/P-TMSI (if available) from the NAS Request message is included. The MME/SGSN may determine the MMEGI or Null-NRI/SGSN Group ID corresponding to the DCN using DNS procedures. The original RAN message is the complete PDU received from the RAN which contains the original NAS Request message and all RAN IEs. The UE Usage Type shall be included, if available. For the condition to include the IMSI, see step 6 in clause 5.19.2.</w:t>
      </w:r>
    </w:p>
    <w:p w:rsidR="00BE31F7" w:rsidRDefault="00BE31F7" w:rsidP="00BE31F7">
      <w:pPr>
        <w:pStyle w:val="B1"/>
      </w:pPr>
      <w:r>
        <w:t>2.</w:t>
      </w:r>
      <w:r>
        <w:tab/>
        <w:t>The RAN node's NNSF selects a new MME/SGSN based on the MMEGI or Null-NRI/SGSN Group ID and possibly also based on an Additional GUTI/P-TMSI. If Additional GUTI/P-TMSI identifies an MME/SGSN within the set of valid nodes identified by MMEGI or Null-NRI/SGSN Group ID, it should be the selected node. Otherwise a valid CN node corresponding to the MMEGI or Null-NRI/SGSN Group ID will be selected. If no valid MME/SGSN is available within the set of valid nodes identified by MMEGI or Null-NRI/SGSN Group ID, the RAN node selects an MME/SGSN from the default DCN or selects the MME/SGSN that sent the Reroute Request, based on operator configuration. The MME/SGSN is selected from the network corresponding to the selected CN operator.</w:t>
      </w:r>
    </w:p>
    <w:p w:rsidR="00BE31F7" w:rsidRDefault="00BE31F7" w:rsidP="00BE31F7">
      <w:pPr>
        <w:pStyle w:val="B1"/>
      </w:pPr>
      <w:r>
        <w:t>3.</w:t>
      </w:r>
      <w:r>
        <w:tab/>
        <w:t xml:space="preserve">Dependent on RAT, the </w:t>
      </w:r>
      <w:proofErr w:type="spellStart"/>
      <w:r>
        <w:t>eNodeB</w:t>
      </w:r>
      <w:proofErr w:type="spellEnd"/>
      <w:r>
        <w:t>/RNC sends the Initial UE message to the selected MME/SGSN or the BSC sends the UL-</w:t>
      </w:r>
      <w:proofErr w:type="spellStart"/>
      <w:r>
        <w:t>Unitdata</w:t>
      </w:r>
      <w:proofErr w:type="spellEnd"/>
      <w:r>
        <w:t xml:space="preserve"> message to the selected SGSN. The initial UE message/UL-</w:t>
      </w:r>
      <w:proofErr w:type="spellStart"/>
      <w:r>
        <w:t>Unitdata</w:t>
      </w:r>
      <w:proofErr w:type="spellEnd"/>
      <w:r>
        <w:t xml:space="preserve"> message includes the NAS Request message, the MMEGI or Null-NRI/SGSN Group ID, UE Usage Type and the IMSI if received from the first SGSN/MME in step 1. The MMEGI or Null-NRI/SGSN Group ID indicates that the message is a rerouted message and the second new MME/SGSN shall not reroute the NAS message. The UE Usage Type shall be included if received in the Reroute NAS Message Request to be used by the second new MME/SGSN to select SGW and PGW (see clauses 4.3.8.1 and 4.3.8.2).</w:t>
      </w:r>
    </w:p>
    <w:p w:rsidR="00BE31F7" w:rsidRDefault="00BE31F7" w:rsidP="00BE31F7">
      <w:pPr>
        <w:ind w:left="1440" w:hanging="1440"/>
        <w:rPr>
          <w:rFonts w:ascii="Arial" w:hAnsi="Arial" w:cs="Arial"/>
          <w:b/>
          <w:sz w:val="28"/>
          <w:szCs w:val="28"/>
        </w:rPr>
      </w:pPr>
    </w:p>
    <w:p w:rsidR="00BE31F7" w:rsidRPr="00DE58A8" w:rsidRDefault="00BE31F7" w:rsidP="00BE31F7">
      <w:pPr>
        <w:ind w:left="1440" w:hanging="1440"/>
        <w:rPr>
          <w:rFonts w:ascii="Arial" w:hAnsi="Arial" w:cs="Arial"/>
          <w:b/>
          <w:sz w:val="28"/>
          <w:szCs w:val="28"/>
        </w:rPr>
      </w:pPr>
      <w:r w:rsidRPr="00DE58A8">
        <w:rPr>
          <w:rFonts w:ascii="Arial" w:hAnsi="Arial" w:cs="Arial"/>
          <w:b/>
          <w:sz w:val="28"/>
          <w:szCs w:val="28"/>
        </w:rPr>
        <w:t>5.19.2</w:t>
      </w:r>
      <w:r w:rsidRPr="00DE58A8">
        <w:rPr>
          <w:rFonts w:ascii="Arial" w:hAnsi="Arial" w:cs="Arial"/>
          <w:b/>
          <w:sz w:val="28"/>
          <w:szCs w:val="28"/>
        </w:rPr>
        <w:tab/>
        <w:t>Attach, TAU and RAU procedure for Dedicated Core Network</w:t>
      </w:r>
      <w:bookmarkEnd w:id="4"/>
    </w:p>
    <w:p w:rsidR="00BE31F7" w:rsidRPr="00DE58A8" w:rsidRDefault="00BE31F7" w:rsidP="00BE31F7">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When DCNs are used, the Attach, TAU and RAU procedures in this clause apply.</w:t>
      </w:r>
    </w:p>
    <w:p w:rsidR="00BE31F7" w:rsidRDefault="00BE31F7" w:rsidP="00BE31F7">
      <w:pPr>
        <w:pStyle w:val="B1"/>
      </w:pPr>
      <w:r>
        <w:lastRenderedPageBreak/>
        <w:t>1.</w:t>
      </w:r>
      <w:r>
        <w:tab/>
        <w:t>Attach, TAU, or RAU procedure is initiated as specified in the relevant clauses of this specification and TS 23.060 [7]. The relevant steps of the procedure as specified in the figure above are executed. The following modifications apply:</w:t>
      </w:r>
    </w:p>
    <w:p w:rsidR="00BE31F7" w:rsidRDefault="00BE31F7" w:rsidP="00BE31F7">
      <w:pPr>
        <w:pStyle w:val="B2"/>
      </w:pPr>
      <w:r>
        <w:t>-</w:t>
      </w:r>
      <w:r>
        <w:tab/>
        <w:t>E-UTRAN Initial Attach Procedure (clause 5.3.2.1 (Figure 5.3.2.1-1)) and Combined GPRS/IMSI Attach procedure (TS 23.060 [7] clause 6.5.3 (Figure 22)): In the Identification Response message, the old MME/SGSN provides UE Usage Type parameter, if available.</w:t>
      </w:r>
    </w:p>
    <w:p w:rsidR="00BE31F7" w:rsidRDefault="00BE31F7" w:rsidP="00BE31F7">
      <w:pPr>
        <w:pStyle w:val="B2"/>
      </w:pPr>
      <w:r>
        <w:t>-</w:t>
      </w:r>
      <w:r>
        <w:tab/>
        <w:t>Tracking area update procedure (clause 5.3.3.1 (Figure 5.3.3.1-1) and 5.3.3.2 (Figure 5.3.3.2-1)): In the Context Response message, the old MME/SGSN provides UE Usage Type parameter, if available.</w:t>
      </w:r>
    </w:p>
    <w:p w:rsidR="00BE31F7" w:rsidRDefault="00BE31F7" w:rsidP="00BE31F7">
      <w:pPr>
        <w:pStyle w:val="B2"/>
      </w:pPr>
      <w:r>
        <w:t>-</w:t>
      </w:r>
      <w:r>
        <w:tab/>
        <w:t>Routing area update procedure (clause 5.3.3.3 (Figure 5.3.3.3-1) and 5.3.3.6 (Figure 5.3.3.6-1), TS 23.060 [7] clauses 6.9.1.2.2 (Figure 33), 6.9.1.2.2a (Figure 33a), 6.9.1.3.2 (Figure 35), 6.9.2.1 (Figure 36), 6.9.2.1a (Figure 36a), 6.13.1.1.1 (Figure 52), 6.13.2.1.1 (Figure 54), 6.13.2.1.2 (Figure 54-2), 6.13.2.2.1 (Figure 55), 6.13.2.2.2 (Figure 55-2)): In the Context Response message, the old MME/SGSN provides UE Usage Type parameter, if available.</w:t>
      </w:r>
    </w:p>
    <w:p w:rsidR="00BE31F7" w:rsidRDefault="00BE31F7" w:rsidP="00BE31F7">
      <w:pPr>
        <w:pStyle w:val="B1"/>
      </w:pPr>
      <w:r>
        <w:t>2.</w:t>
      </w:r>
      <w:r>
        <w:tab/>
        <w:t xml:space="preserve">If the (first) new MME/SGSN, i.e. the MME/SGSN that has not received any MMEGI or Null-NRI/SGSN Group ID from RAN, does not have sufficient information to determine whether it should serve the UE, it sends an Authentication Information Request message to the HSS requesting UE Usage Type by adding the parameter "Send UE Usage Type" flag in the message. The MME/SGSN may also request one or more authentication vectors in addition to the UE Usage Type. The (first) new MME/SGSN has sufficient information in the following cases and </w:t>
      </w:r>
      <w:proofErr w:type="gramStart"/>
      <w:r>
        <w:t>may</w:t>
      </w:r>
      <w:proofErr w:type="gramEnd"/>
      <w:r>
        <w:t xml:space="preserve"> then skip this step and step 3:</w:t>
      </w:r>
    </w:p>
    <w:p w:rsidR="00BE31F7" w:rsidRDefault="00BE31F7" w:rsidP="00BE31F7">
      <w:pPr>
        <w:pStyle w:val="B2"/>
      </w:pPr>
      <w:r>
        <w:t>i.</w:t>
      </w:r>
      <w:r>
        <w:tab/>
        <w:t>The (first) new MME/SGSN has received the UE Usage Type from the old MME/SGSN in the Identification Response (for Attach) or Context Response (for TAU/RAU) message or Forward Relocation Request (for Handover).</w:t>
      </w:r>
    </w:p>
    <w:p w:rsidR="00BE31F7" w:rsidRDefault="00BE31F7" w:rsidP="00BE31F7">
      <w:pPr>
        <w:pStyle w:val="B2"/>
      </w:pPr>
      <w:r>
        <w:t>ii.</w:t>
      </w:r>
      <w:r>
        <w:tab/>
        <w:t>Based on configuration in the (first) new MME/SGSN and UE context information, the MME/SGSN is able to determine whether it should serve the UE.</w:t>
      </w:r>
    </w:p>
    <w:p w:rsidR="00BE31F7" w:rsidRDefault="00BE31F7" w:rsidP="00BE31F7">
      <w:pPr>
        <w:pStyle w:val="B1"/>
      </w:pPr>
      <w:r>
        <w:tab/>
        <w:t>This step and redirection of NAS message (i.e. step 5 onwards) shall not be performed for TAU/RAU procedure triggered in connected mode, e.g. during handover.</w:t>
      </w:r>
    </w:p>
    <w:p w:rsidR="00BE31F7" w:rsidRDefault="00BE31F7" w:rsidP="00BE31F7">
      <w:pPr>
        <w:pStyle w:val="B1"/>
      </w:pPr>
      <w:r>
        <w:t>3.</w:t>
      </w:r>
      <w:r>
        <w:tab/>
        <w:t>The HSS, if supporting DCNs, provides the UE Usage Type in the Authentication Information Answer message, if any is stored for the UE. The UE Usage Type is returned by the HSS in addition to requested authentication vectors.</w:t>
      </w:r>
    </w:p>
    <w:p w:rsidR="00BE31F7" w:rsidRDefault="00BE31F7" w:rsidP="00BE31F7">
      <w:pPr>
        <w:pStyle w:val="B1"/>
      </w:pPr>
      <w:r>
        <w:t>4.</w:t>
      </w:r>
      <w:r>
        <w:tab/>
        <w:t xml:space="preserve">If the (first) new MME/SGSN determines that it shall not reroute the NAS message to another CN node, the MME/SGSN either continues from the designated step as stated in the figure above or depending on operator configuration rejects the NAS request message and the NAS procedure ends in this step. The NAS message is rejected with parameters, e.g. </w:t>
      </w:r>
      <w:proofErr w:type="spellStart"/>
      <w:r>
        <w:t>backoff</w:t>
      </w:r>
      <w:proofErr w:type="spellEnd"/>
      <w:r>
        <w:t xml:space="preserve"> timer, such that the UE does not immediately re-initiate the NAS procedure.</w:t>
      </w:r>
    </w:p>
    <w:p w:rsidR="00BE31F7" w:rsidRDefault="00BE31F7" w:rsidP="00BE31F7">
      <w:pPr>
        <w:pStyle w:val="B1"/>
      </w:pPr>
      <w:r>
        <w:t>5.</w:t>
      </w:r>
      <w:r>
        <w:tab/>
        <w:t>If the (first) new MME/SGSN determines that it should reroute the NAS request message to another CN node, the procedure is a TAU or RAU procedure and UE context was received from the old MME/SGSN, the (first) new MME sends a Context Acknowledge message with cause code indicating that the procedure is not successful. The old MME/SGSN shall continue as if Context Request was never received.</w:t>
      </w:r>
    </w:p>
    <w:p w:rsidR="00BE31F7" w:rsidRDefault="00BE31F7" w:rsidP="00BE31F7">
      <w:pPr>
        <w:pStyle w:val="B1"/>
      </w:pPr>
      <w:r>
        <w:t>6.</w:t>
      </w:r>
      <w:r>
        <w:tab/>
        <w:t>If the (first) new MME/SGSN determines that it should reroute the NAS request message to another CN node, it uses the "NAS Message Redirection Procedure" in clause 5.19.1. The NAS message is re-routed to a (second) new MME/SGSN. If the IMSI was retrieved unencrypted from the UE by the (first) new MME/SGSN in step 1, the (first) new MME/SGSN shall include the IMSI in the Reroute Message Request.</w:t>
      </w:r>
    </w:p>
    <w:p w:rsidR="00BE31F7" w:rsidRDefault="00BE31F7" w:rsidP="00BE31F7">
      <w:pPr>
        <w:pStyle w:val="B1"/>
      </w:pPr>
      <w:r>
        <w:t>7.</w:t>
      </w:r>
      <w:r>
        <w:tab/>
        <w:t>The (second) new MME/SGSN, i.e. the MME/SGSN that receives the rerouted NAS message from RAN with MMEGI or Null-NRI/SGSN Group ID, performs NAS procedure as stated for E-UTRAN in this specification and for GERAN/UTRAN in TS 23.060 [7] from the steps shown in the figure above. The following modifications apply:</w:t>
      </w:r>
    </w:p>
    <w:p w:rsidR="00BE31F7" w:rsidRDefault="00BE31F7" w:rsidP="00BE31F7">
      <w:pPr>
        <w:pStyle w:val="B2"/>
      </w:pPr>
      <w:r>
        <w:lastRenderedPageBreak/>
        <w:t>-</w:t>
      </w:r>
      <w:r>
        <w:tab/>
        <w:t>E-UTRAN Initial Attach Procedure (clause 5.3.2.1 (Figure 5.3.2.1-1)) and Combined GPRS/IMSI Attach procedure (TS 23.060 [7] Clause 6.5.3 (Figure 22)): In the Identification Response message, the old MME/SGSN provides UE Usage Type parameter, if available.</w:t>
      </w:r>
    </w:p>
    <w:p w:rsidR="00BE31F7" w:rsidRDefault="00BE31F7" w:rsidP="00BE31F7">
      <w:pPr>
        <w:pStyle w:val="B2"/>
      </w:pPr>
      <w:r>
        <w:t>-</w:t>
      </w:r>
      <w:r>
        <w:tab/>
        <w:t>Tracking area update procedure (clause 5.3.3.1 (Figure 5.3.3.1-1) and 5.3.3.2 (Figure 5.3.3.2-1)): In the Context Response message, the old MME/SGSN provides UE Usage Type parameter, if available.</w:t>
      </w:r>
    </w:p>
    <w:p w:rsidR="00BE31F7" w:rsidRDefault="00BE31F7" w:rsidP="00BE31F7">
      <w:pPr>
        <w:pStyle w:val="B2"/>
      </w:pPr>
      <w:r>
        <w:t>-</w:t>
      </w:r>
      <w:r>
        <w:tab/>
        <w:t>In case the IMSI was received from the first (new) MME/SGSN as part of the NAS Message Redirection Procedure, the second (new) MME/SGSN does not have to retrieve the IMSI from the UE.</w:t>
      </w:r>
    </w:p>
    <w:p w:rsidR="00BE31F7" w:rsidRDefault="00BE31F7" w:rsidP="00BE31F7">
      <w:pPr>
        <w:pStyle w:val="B2"/>
      </w:pPr>
      <w:r>
        <w:t>-</w:t>
      </w:r>
      <w:r>
        <w:tab/>
        <w:t>Routing area update procedure (clause 5.3.3.3 (Figure 5.3.3.3-1) and 5.3.3.6 (Figure 5.3.3.6-1), TS 23.060 [7] clauses  6.9.1.2.2 (Figure 33), 6.9.1.2.2a (Figure 33a), 6.9.1.3.2 (Figure 35), 6.9.2.1 (Figure 36), 6.9.2.1a (Figure 36a), 6.13.1.1.1 (Figure 52), 6.13.2.1.1 (Figure 54), 6.13.2.1.2 (Figure 54-2), 6.13.2.2.1 (Figure 55), 6.13.2.2.2 (Figure 55-2)): In the Context Response message, the old MME/SGSN provides UE Usage Type parameter, if available.</w:t>
      </w:r>
    </w:p>
    <w:p w:rsidR="00BE31F7" w:rsidRDefault="00BE31F7" w:rsidP="00BE31F7">
      <w:pPr>
        <w:pStyle w:val="B2"/>
      </w:pPr>
      <w:r>
        <w:tab/>
        <w:t>The (second) new MME/SGSN shall not reroute the NAS message to another CN node since the Initial UE message/UL-</w:t>
      </w:r>
      <w:proofErr w:type="spellStart"/>
      <w:r>
        <w:t>Unitdata</w:t>
      </w:r>
      <w:proofErr w:type="spellEnd"/>
      <w:r>
        <w:t xml:space="preserve"> message from RAN includes MMEGI or Null-NRI/SGSN Group ID. The (second) new MME/SGSN either completes the NAS procedure as stated above or depending on operator configuration rejects the NAS request message and the NAS procedure ends. When rejecting the NAS request, an appropriate cause and </w:t>
      </w:r>
      <w:proofErr w:type="spellStart"/>
      <w:r>
        <w:t>backoff</w:t>
      </w:r>
      <w:proofErr w:type="spellEnd"/>
      <w:r>
        <w:t xml:space="preserve"> time should be included.</w:t>
      </w:r>
    </w:p>
    <w:p w:rsidR="00BE31F7" w:rsidRDefault="00BE31F7" w:rsidP="00BE31F7">
      <w:pPr>
        <w:pStyle w:val="B2"/>
      </w:pPr>
      <w:r>
        <w:tab/>
        <w:t xml:space="preserve">In the case of TAU or RAU procedure, the (second) new MME/SGSN may check (e.g. based on the indication that the NAS message has been rerouted and on local configuration) if the PGW (for one or more PDN connection(s)) of the UE needs to be changed. If the PGW needs to be changed, the (second) new MME/SGSN initiates </w:t>
      </w:r>
      <w:proofErr w:type="gramStart"/>
      <w:r>
        <w:t>Detach</w:t>
      </w:r>
      <w:proofErr w:type="gramEnd"/>
      <w:r>
        <w:t xml:space="preserve"> with reattach required or PDN disconnection with reactivation required procedure after the completion of the TAU or RAU procedure.</w:t>
      </w:r>
    </w:p>
    <w:p w:rsidR="00BE31F7" w:rsidRDefault="00BE31F7" w:rsidP="00BE31F7">
      <w:pPr>
        <w:rPr>
          <w:rFonts w:ascii="Arial" w:hAnsi="Arial" w:cs="Arial"/>
          <w:b/>
          <w:sz w:val="28"/>
          <w:szCs w:val="28"/>
        </w:rPr>
      </w:pPr>
    </w:p>
    <w:p w:rsidR="00250AD5" w:rsidRPr="00BE31F7" w:rsidRDefault="00250AD5" w:rsidP="00BE31F7"/>
    <w:sectPr w:rsidR="00250AD5" w:rsidRPr="00BE3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46C4F10"/>
    <w:multiLevelType w:val="hybridMultilevel"/>
    <w:tmpl w:val="B13868AE"/>
    <w:lvl w:ilvl="0" w:tplc="7290652C">
      <w:start w:val="1"/>
      <w:numFmt w:val="bullet"/>
      <w:lvlText w:val="›"/>
      <w:lvlJc w:val="left"/>
      <w:pPr>
        <w:tabs>
          <w:tab w:val="num" w:pos="720"/>
        </w:tabs>
        <w:ind w:left="720" w:hanging="360"/>
      </w:pPr>
      <w:rPr>
        <w:rFonts w:ascii="Arial" w:hAnsi="Arial" w:hint="default"/>
      </w:rPr>
    </w:lvl>
    <w:lvl w:ilvl="1" w:tplc="D1A65EFC">
      <w:start w:val="1"/>
      <w:numFmt w:val="bullet"/>
      <w:lvlText w:val="›"/>
      <w:lvlJc w:val="left"/>
      <w:pPr>
        <w:tabs>
          <w:tab w:val="num" w:pos="1440"/>
        </w:tabs>
        <w:ind w:left="1440" w:hanging="360"/>
      </w:pPr>
      <w:rPr>
        <w:rFonts w:ascii="Arial" w:hAnsi="Arial" w:hint="default"/>
      </w:rPr>
    </w:lvl>
    <w:lvl w:ilvl="2" w:tplc="57FA630C" w:tentative="1">
      <w:start w:val="1"/>
      <w:numFmt w:val="bullet"/>
      <w:lvlText w:val="›"/>
      <w:lvlJc w:val="left"/>
      <w:pPr>
        <w:tabs>
          <w:tab w:val="num" w:pos="2160"/>
        </w:tabs>
        <w:ind w:left="2160" w:hanging="360"/>
      </w:pPr>
      <w:rPr>
        <w:rFonts w:ascii="Arial" w:hAnsi="Arial" w:hint="default"/>
      </w:rPr>
    </w:lvl>
    <w:lvl w:ilvl="3" w:tplc="38DCA528" w:tentative="1">
      <w:start w:val="1"/>
      <w:numFmt w:val="bullet"/>
      <w:lvlText w:val="›"/>
      <w:lvlJc w:val="left"/>
      <w:pPr>
        <w:tabs>
          <w:tab w:val="num" w:pos="2880"/>
        </w:tabs>
        <w:ind w:left="2880" w:hanging="360"/>
      </w:pPr>
      <w:rPr>
        <w:rFonts w:ascii="Arial" w:hAnsi="Arial" w:hint="default"/>
      </w:rPr>
    </w:lvl>
    <w:lvl w:ilvl="4" w:tplc="95AC4D9E" w:tentative="1">
      <w:start w:val="1"/>
      <w:numFmt w:val="bullet"/>
      <w:lvlText w:val="›"/>
      <w:lvlJc w:val="left"/>
      <w:pPr>
        <w:tabs>
          <w:tab w:val="num" w:pos="3600"/>
        </w:tabs>
        <w:ind w:left="3600" w:hanging="360"/>
      </w:pPr>
      <w:rPr>
        <w:rFonts w:ascii="Arial" w:hAnsi="Arial" w:hint="default"/>
      </w:rPr>
    </w:lvl>
    <w:lvl w:ilvl="5" w:tplc="189C5F60" w:tentative="1">
      <w:start w:val="1"/>
      <w:numFmt w:val="bullet"/>
      <w:lvlText w:val="›"/>
      <w:lvlJc w:val="left"/>
      <w:pPr>
        <w:tabs>
          <w:tab w:val="num" w:pos="4320"/>
        </w:tabs>
        <w:ind w:left="4320" w:hanging="360"/>
      </w:pPr>
      <w:rPr>
        <w:rFonts w:ascii="Arial" w:hAnsi="Arial" w:hint="default"/>
      </w:rPr>
    </w:lvl>
    <w:lvl w:ilvl="6" w:tplc="636EC702" w:tentative="1">
      <w:start w:val="1"/>
      <w:numFmt w:val="bullet"/>
      <w:lvlText w:val="›"/>
      <w:lvlJc w:val="left"/>
      <w:pPr>
        <w:tabs>
          <w:tab w:val="num" w:pos="5040"/>
        </w:tabs>
        <w:ind w:left="5040" w:hanging="360"/>
      </w:pPr>
      <w:rPr>
        <w:rFonts w:ascii="Arial" w:hAnsi="Arial" w:hint="default"/>
      </w:rPr>
    </w:lvl>
    <w:lvl w:ilvl="7" w:tplc="2CA64190" w:tentative="1">
      <w:start w:val="1"/>
      <w:numFmt w:val="bullet"/>
      <w:lvlText w:val="›"/>
      <w:lvlJc w:val="left"/>
      <w:pPr>
        <w:tabs>
          <w:tab w:val="num" w:pos="5760"/>
        </w:tabs>
        <w:ind w:left="5760" w:hanging="360"/>
      </w:pPr>
      <w:rPr>
        <w:rFonts w:ascii="Arial" w:hAnsi="Arial" w:hint="default"/>
      </w:rPr>
    </w:lvl>
    <w:lvl w:ilvl="8" w:tplc="BF64EDBA" w:tentative="1">
      <w:start w:val="1"/>
      <w:numFmt w:val="bullet"/>
      <w:lvlText w:val="›"/>
      <w:lvlJc w:val="left"/>
      <w:pPr>
        <w:tabs>
          <w:tab w:val="num" w:pos="6480"/>
        </w:tabs>
        <w:ind w:left="6480" w:hanging="360"/>
      </w:pPr>
      <w:rPr>
        <w:rFonts w:ascii="Arial" w:hAnsi="Arial" w:hint="default"/>
      </w:rPr>
    </w:lvl>
  </w:abstractNum>
  <w:abstractNum w:abstractNumId="2">
    <w:nsid w:val="04D21DC3"/>
    <w:multiLevelType w:val="hybridMultilevel"/>
    <w:tmpl w:val="D96A6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E938BF"/>
    <w:multiLevelType w:val="hybridMultilevel"/>
    <w:tmpl w:val="649E9D46"/>
    <w:lvl w:ilvl="0" w:tplc="C1B48950">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6">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93C45"/>
    <w:multiLevelType w:val="hybridMultilevel"/>
    <w:tmpl w:val="BCD81AD0"/>
    <w:lvl w:ilvl="0" w:tplc="12ACD53E">
      <w:start w:val="1"/>
      <w:numFmt w:val="bullet"/>
      <w:lvlText w:val="–"/>
      <w:lvlJc w:val="left"/>
      <w:pPr>
        <w:tabs>
          <w:tab w:val="num" w:pos="720"/>
        </w:tabs>
        <w:ind w:left="720" w:hanging="360"/>
      </w:pPr>
      <w:rPr>
        <w:rFonts w:ascii="Ericsson Capital TT" w:hAnsi="Ericsson Capital TT" w:hint="default"/>
      </w:rPr>
    </w:lvl>
    <w:lvl w:ilvl="1" w:tplc="29D409C0">
      <w:start w:val="1"/>
      <w:numFmt w:val="bullet"/>
      <w:lvlText w:val="–"/>
      <w:lvlJc w:val="left"/>
      <w:pPr>
        <w:tabs>
          <w:tab w:val="num" w:pos="1440"/>
        </w:tabs>
        <w:ind w:left="1440" w:hanging="360"/>
      </w:pPr>
      <w:rPr>
        <w:rFonts w:ascii="Ericsson Capital TT" w:hAnsi="Ericsson Capital TT" w:hint="default"/>
      </w:rPr>
    </w:lvl>
    <w:lvl w:ilvl="2" w:tplc="8FAE6D10" w:tentative="1">
      <w:start w:val="1"/>
      <w:numFmt w:val="bullet"/>
      <w:lvlText w:val="–"/>
      <w:lvlJc w:val="left"/>
      <w:pPr>
        <w:tabs>
          <w:tab w:val="num" w:pos="2160"/>
        </w:tabs>
        <w:ind w:left="2160" w:hanging="360"/>
      </w:pPr>
      <w:rPr>
        <w:rFonts w:ascii="Ericsson Capital TT" w:hAnsi="Ericsson Capital TT" w:hint="default"/>
      </w:rPr>
    </w:lvl>
    <w:lvl w:ilvl="3" w:tplc="7F9627C6" w:tentative="1">
      <w:start w:val="1"/>
      <w:numFmt w:val="bullet"/>
      <w:lvlText w:val="–"/>
      <w:lvlJc w:val="left"/>
      <w:pPr>
        <w:tabs>
          <w:tab w:val="num" w:pos="2880"/>
        </w:tabs>
        <w:ind w:left="2880" w:hanging="360"/>
      </w:pPr>
      <w:rPr>
        <w:rFonts w:ascii="Ericsson Capital TT" w:hAnsi="Ericsson Capital TT" w:hint="default"/>
      </w:rPr>
    </w:lvl>
    <w:lvl w:ilvl="4" w:tplc="18FE410E" w:tentative="1">
      <w:start w:val="1"/>
      <w:numFmt w:val="bullet"/>
      <w:lvlText w:val="–"/>
      <w:lvlJc w:val="left"/>
      <w:pPr>
        <w:tabs>
          <w:tab w:val="num" w:pos="3600"/>
        </w:tabs>
        <w:ind w:left="3600" w:hanging="360"/>
      </w:pPr>
      <w:rPr>
        <w:rFonts w:ascii="Ericsson Capital TT" w:hAnsi="Ericsson Capital TT" w:hint="default"/>
      </w:rPr>
    </w:lvl>
    <w:lvl w:ilvl="5" w:tplc="2E7817C8" w:tentative="1">
      <w:start w:val="1"/>
      <w:numFmt w:val="bullet"/>
      <w:lvlText w:val="–"/>
      <w:lvlJc w:val="left"/>
      <w:pPr>
        <w:tabs>
          <w:tab w:val="num" w:pos="4320"/>
        </w:tabs>
        <w:ind w:left="4320" w:hanging="360"/>
      </w:pPr>
      <w:rPr>
        <w:rFonts w:ascii="Ericsson Capital TT" w:hAnsi="Ericsson Capital TT" w:hint="default"/>
      </w:rPr>
    </w:lvl>
    <w:lvl w:ilvl="6" w:tplc="98162698" w:tentative="1">
      <w:start w:val="1"/>
      <w:numFmt w:val="bullet"/>
      <w:lvlText w:val="–"/>
      <w:lvlJc w:val="left"/>
      <w:pPr>
        <w:tabs>
          <w:tab w:val="num" w:pos="5040"/>
        </w:tabs>
        <w:ind w:left="5040" w:hanging="360"/>
      </w:pPr>
      <w:rPr>
        <w:rFonts w:ascii="Ericsson Capital TT" w:hAnsi="Ericsson Capital TT" w:hint="default"/>
      </w:rPr>
    </w:lvl>
    <w:lvl w:ilvl="7" w:tplc="ED94F728" w:tentative="1">
      <w:start w:val="1"/>
      <w:numFmt w:val="bullet"/>
      <w:lvlText w:val="–"/>
      <w:lvlJc w:val="left"/>
      <w:pPr>
        <w:tabs>
          <w:tab w:val="num" w:pos="5760"/>
        </w:tabs>
        <w:ind w:left="5760" w:hanging="360"/>
      </w:pPr>
      <w:rPr>
        <w:rFonts w:ascii="Ericsson Capital TT" w:hAnsi="Ericsson Capital TT" w:hint="default"/>
      </w:rPr>
    </w:lvl>
    <w:lvl w:ilvl="8" w:tplc="7F46FD0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491D56"/>
    <w:multiLevelType w:val="hybridMultilevel"/>
    <w:tmpl w:val="2E8AAD0C"/>
    <w:lvl w:ilvl="0" w:tplc="4E0ED250">
      <w:start w:val="1"/>
      <w:numFmt w:val="bullet"/>
      <w:lvlText w:val="–"/>
      <w:lvlJc w:val="left"/>
      <w:pPr>
        <w:tabs>
          <w:tab w:val="num" w:pos="720"/>
        </w:tabs>
        <w:ind w:left="720" w:hanging="360"/>
      </w:pPr>
      <w:rPr>
        <w:rFonts w:ascii="Ericsson Capital TT" w:hAnsi="Ericsson Capital TT" w:hint="default"/>
      </w:rPr>
    </w:lvl>
    <w:lvl w:ilvl="1" w:tplc="CF822A42">
      <w:start w:val="1"/>
      <w:numFmt w:val="bullet"/>
      <w:lvlText w:val="–"/>
      <w:lvlJc w:val="left"/>
      <w:pPr>
        <w:tabs>
          <w:tab w:val="num" w:pos="1440"/>
        </w:tabs>
        <w:ind w:left="1440" w:hanging="360"/>
      </w:pPr>
      <w:rPr>
        <w:rFonts w:ascii="Ericsson Capital TT" w:hAnsi="Ericsson Capital TT" w:hint="default"/>
      </w:rPr>
    </w:lvl>
    <w:lvl w:ilvl="2" w:tplc="696E3176" w:tentative="1">
      <w:start w:val="1"/>
      <w:numFmt w:val="bullet"/>
      <w:lvlText w:val="–"/>
      <w:lvlJc w:val="left"/>
      <w:pPr>
        <w:tabs>
          <w:tab w:val="num" w:pos="2160"/>
        </w:tabs>
        <w:ind w:left="2160" w:hanging="360"/>
      </w:pPr>
      <w:rPr>
        <w:rFonts w:ascii="Ericsson Capital TT" w:hAnsi="Ericsson Capital TT" w:hint="default"/>
      </w:rPr>
    </w:lvl>
    <w:lvl w:ilvl="3" w:tplc="E9D42F24" w:tentative="1">
      <w:start w:val="1"/>
      <w:numFmt w:val="bullet"/>
      <w:lvlText w:val="–"/>
      <w:lvlJc w:val="left"/>
      <w:pPr>
        <w:tabs>
          <w:tab w:val="num" w:pos="2880"/>
        </w:tabs>
        <w:ind w:left="2880" w:hanging="360"/>
      </w:pPr>
      <w:rPr>
        <w:rFonts w:ascii="Ericsson Capital TT" w:hAnsi="Ericsson Capital TT" w:hint="default"/>
      </w:rPr>
    </w:lvl>
    <w:lvl w:ilvl="4" w:tplc="06B489A4" w:tentative="1">
      <w:start w:val="1"/>
      <w:numFmt w:val="bullet"/>
      <w:lvlText w:val="–"/>
      <w:lvlJc w:val="left"/>
      <w:pPr>
        <w:tabs>
          <w:tab w:val="num" w:pos="3600"/>
        </w:tabs>
        <w:ind w:left="3600" w:hanging="360"/>
      </w:pPr>
      <w:rPr>
        <w:rFonts w:ascii="Ericsson Capital TT" w:hAnsi="Ericsson Capital TT" w:hint="default"/>
      </w:rPr>
    </w:lvl>
    <w:lvl w:ilvl="5" w:tplc="BDFE2E96" w:tentative="1">
      <w:start w:val="1"/>
      <w:numFmt w:val="bullet"/>
      <w:lvlText w:val="–"/>
      <w:lvlJc w:val="left"/>
      <w:pPr>
        <w:tabs>
          <w:tab w:val="num" w:pos="4320"/>
        </w:tabs>
        <w:ind w:left="4320" w:hanging="360"/>
      </w:pPr>
      <w:rPr>
        <w:rFonts w:ascii="Ericsson Capital TT" w:hAnsi="Ericsson Capital TT" w:hint="default"/>
      </w:rPr>
    </w:lvl>
    <w:lvl w:ilvl="6" w:tplc="91CCD42A" w:tentative="1">
      <w:start w:val="1"/>
      <w:numFmt w:val="bullet"/>
      <w:lvlText w:val="–"/>
      <w:lvlJc w:val="left"/>
      <w:pPr>
        <w:tabs>
          <w:tab w:val="num" w:pos="5040"/>
        </w:tabs>
        <w:ind w:left="5040" w:hanging="360"/>
      </w:pPr>
      <w:rPr>
        <w:rFonts w:ascii="Ericsson Capital TT" w:hAnsi="Ericsson Capital TT" w:hint="default"/>
      </w:rPr>
    </w:lvl>
    <w:lvl w:ilvl="7" w:tplc="F654ACFC" w:tentative="1">
      <w:start w:val="1"/>
      <w:numFmt w:val="bullet"/>
      <w:lvlText w:val="–"/>
      <w:lvlJc w:val="left"/>
      <w:pPr>
        <w:tabs>
          <w:tab w:val="num" w:pos="5760"/>
        </w:tabs>
        <w:ind w:left="5760" w:hanging="360"/>
      </w:pPr>
      <w:rPr>
        <w:rFonts w:ascii="Ericsson Capital TT" w:hAnsi="Ericsson Capital TT" w:hint="default"/>
      </w:rPr>
    </w:lvl>
    <w:lvl w:ilvl="8" w:tplc="D870034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B9F3999"/>
    <w:multiLevelType w:val="hybridMultilevel"/>
    <w:tmpl w:val="DC58C4F2"/>
    <w:lvl w:ilvl="0" w:tplc="08FC30CA">
      <w:start w:val="1"/>
      <w:numFmt w:val="bullet"/>
      <w:lvlText w:val="–"/>
      <w:lvlJc w:val="left"/>
      <w:pPr>
        <w:tabs>
          <w:tab w:val="num" w:pos="720"/>
        </w:tabs>
        <w:ind w:left="720" w:hanging="360"/>
      </w:pPr>
      <w:rPr>
        <w:rFonts w:ascii="Ericsson Capital TT" w:hAnsi="Ericsson Capital TT" w:hint="default"/>
      </w:rPr>
    </w:lvl>
    <w:lvl w:ilvl="1" w:tplc="05CEFDF4">
      <w:start w:val="1"/>
      <w:numFmt w:val="bullet"/>
      <w:lvlText w:val="–"/>
      <w:lvlJc w:val="left"/>
      <w:pPr>
        <w:tabs>
          <w:tab w:val="num" w:pos="1440"/>
        </w:tabs>
        <w:ind w:left="1440" w:hanging="360"/>
      </w:pPr>
      <w:rPr>
        <w:rFonts w:ascii="Ericsson Capital TT" w:hAnsi="Ericsson Capital TT" w:hint="default"/>
      </w:rPr>
    </w:lvl>
    <w:lvl w:ilvl="2" w:tplc="44E6A874">
      <w:start w:val="1"/>
      <w:numFmt w:val="bullet"/>
      <w:lvlText w:val="–"/>
      <w:lvlJc w:val="left"/>
      <w:pPr>
        <w:tabs>
          <w:tab w:val="num" w:pos="2160"/>
        </w:tabs>
        <w:ind w:left="2160" w:hanging="360"/>
      </w:pPr>
      <w:rPr>
        <w:rFonts w:ascii="Ericsson Capital TT" w:hAnsi="Ericsson Capital TT" w:hint="default"/>
      </w:rPr>
    </w:lvl>
    <w:lvl w:ilvl="3" w:tplc="E5DA9E7A" w:tentative="1">
      <w:start w:val="1"/>
      <w:numFmt w:val="bullet"/>
      <w:lvlText w:val="–"/>
      <w:lvlJc w:val="left"/>
      <w:pPr>
        <w:tabs>
          <w:tab w:val="num" w:pos="2880"/>
        </w:tabs>
        <w:ind w:left="2880" w:hanging="360"/>
      </w:pPr>
      <w:rPr>
        <w:rFonts w:ascii="Ericsson Capital TT" w:hAnsi="Ericsson Capital TT" w:hint="default"/>
      </w:rPr>
    </w:lvl>
    <w:lvl w:ilvl="4" w:tplc="41B88ACC" w:tentative="1">
      <w:start w:val="1"/>
      <w:numFmt w:val="bullet"/>
      <w:lvlText w:val="–"/>
      <w:lvlJc w:val="left"/>
      <w:pPr>
        <w:tabs>
          <w:tab w:val="num" w:pos="3600"/>
        </w:tabs>
        <w:ind w:left="3600" w:hanging="360"/>
      </w:pPr>
      <w:rPr>
        <w:rFonts w:ascii="Ericsson Capital TT" w:hAnsi="Ericsson Capital TT" w:hint="default"/>
      </w:rPr>
    </w:lvl>
    <w:lvl w:ilvl="5" w:tplc="32EAC424" w:tentative="1">
      <w:start w:val="1"/>
      <w:numFmt w:val="bullet"/>
      <w:lvlText w:val="–"/>
      <w:lvlJc w:val="left"/>
      <w:pPr>
        <w:tabs>
          <w:tab w:val="num" w:pos="4320"/>
        </w:tabs>
        <w:ind w:left="4320" w:hanging="360"/>
      </w:pPr>
      <w:rPr>
        <w:rFonts w:ascii="Ericsson Capital TT" w:hAnsi="Ericsson Capital TT" w:hint="default"/>
      </w:rPr>
    </w:lvl>
    <w:lvl w:ilvl="6" w:tplc="393E6D24" w:tentative="1">
      <w:start w:val="1"/>
      <w:numFmt w:val="bullet"/>
      <w:lvlText w:val="–"/>
      <w:lvlJc w:val="left"/>
      <w:pPr>
        <w:tabs>
          <w:tab w:val="num" w:pos="5040"/>
        </w:tabs>
        <w:ind w:left="5040" w:hanging="360"/>
      </w:pPr>
      <w:rPr>
        <w:rFonts w:ascii="Ericsson Capital TT" w:hAnsi="Ericsson Capital TT" w:hint="default"/>
      </w:rPr>
    </w:lvl>
    <w:lvl w:ilvl="7" w:tplc="6DD60898" w:tentative="1">
      <w:start w:val="1"/>
      <w:numFmt w:val="bullet"/>
      <w:lvlText w:val="–"/>
      <w:lvlJc w:val="left"/>
      <w:pPr>
        <w:tabs>
          <w:tab w:val="num" w:pos="5760"/>
        </w:tabs>
        <w:ind w:left="5760" w:hanging="360"/>
      </w:pPr>
      <w:rPr>
        <w:rFonts w:ascii="Ericsson Capital TT" w:hAnsi="Ericsson Capital TT" w:hint="default"/>
      </w:rPr>
    </w:lvl>
    <w:lvl w:ilvl="8" w:tplc="EEC4778E"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37492D02"/>
    <w:multiLevelType w:val="hybridMultilevel"/>
    <w:tmpl w:val="464C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545DA"/>
    <w:multiLevelType w:val="hybridMultilevel"/>
    <w:tmpl w:val="EFBCB4E2"/>
    <w:lvl w:ilvl="0" w:tplc="C1B48950">
      <w:start w:val="1"/>
      <w:numFmt w:val="bullet"/>
      <w:lvlText w:val="›"/>
      <w:lvlJc w:val="left"/>
      <w:pPr>
        <w:tabs>
          <w:tab w:val="num" w:pos="720"/>
        </w:tabs>
        <w:ind w:left="720" w:hanging="360"/>
      </w:pPr>
      <w:rPr>
        <w:rFonts w:ascii="Arial" w:hAnsi="Arial" w:hint="default"/>
      </w:rPr>
    </w:lvl>
    <w:lvl w:ilvl="1" w:tplc="37E49026">
      <w:start w:val="3860"/>
      <w:numFmt w:val="bullet"/>
      <w:lvlText w:val="–"/>
      <w:lvlJc w:val="left"/>
      <w:pPr>
        <w:tabs>
          <w:tab w:val="num" w:pos="1440"/>
        </w:tabs>
        <w:ind w:left="1440" w:hanging="360"/>
      </w:pPr>
      <w:rPr>
        <w:rFonts w:ascii="Ericsson Capital TT" w:hAnsi="Ericsson Capital TT"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5">
    <w:nsid w:val="3B39351E"/>
    <w:multiLevelType w:val="hybridMultilevel"/>
    <w:tmpl w:val="7F94D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652B34"/>
    <w:multiLevelType w:val="hybridMultilevel"/>
    <w:tmpl w:val="C4047D12"/>
    <w:lvl w:ilvl="0" w:tplc="3CD0493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82F3F"/>
    <w:multiLevelType w:val="hybridMultilevel"/>
    <w:tmpl w:val="90E898DE"/>
    <w:lvl w:ilvl="0" w:tplc="F37EE986">
      <w:start w:val="1"/>
      <w:numFmt w:val="bullet"/>
      <w:lvlText w:val="–"/>
      <w:lvlJc w:val="left"/>
      <w:pPr>
        <w:tabs>
          <w:tab w:val="num" w:pos="720"/>
        </w:tabs>
        <w:ind w:left="720" w:hanging="360"/>
      </w:pPr>
      <w:rPr>
        <w:rFonts w:ascii="Ericsson Capital TT" w:hAnsi="Ericsson Capital TT" w:hint="default"/>
      </w:rPr>
    </w:lvl>
    <w:lvl w:ilvl="1" w:tplc="7988DB2C">
      <w:start w:val="1"/>
      <w:numFmt w:val="bullet"/>
      <w:lvlText w:val="–"/>
      <w:lvlJc w:val="left"/>
      <w:pPr>
        <w:tabs>
          <w:tab w:val="num" w:pos="1440"/>
        </w:tabs>
        <w:ind w:left="1440" w:hanging="360"/>
      </w:pPr>
      <w:rPr>
        <w:rFonts w:ascii="Ericsson Capital TT" w:hAnsi="Ericsson Capital TT" w:hint="default"/>
      </w:rPr>
    </w:lvl>
    <w:lvl w:ilvl="2" w:tplc="C43234B6" w:tentative="1">
      <w:start w:val="1"/>
      <w:numFmt w:val="bullet"/>
      <w:lvlText w:val="–"/>
      <w:lvlJc w:val="left"/>
      <w:pPr>
        <w:tabs>
          <w:tab w:val="num" w:pos="2160"/>
        </w:tabs>
        <w:ind w:left="2160" w:hanging="360"/>
      </w:pPr>
      <w:rPr>
        <w:rFonts w:ascii="Ericsson Capital TT" w:hAnsi="Ericsson Capital TT" w:hint="default"/>
      </w:rPr>
    </w:lvl>
    <w:lvl w:ilvl="3" w:tplc="8CDC697C" w:tentative="1">
      <w:start w:val="1"/>
      <w:numFmt w:val="bullet"/>
      <w:lvlText w:val="–"/>
      <w:lvlJc w:val="left"/>
      <w:pPr>
        <w:tabs>
          <w:tab w:val="num" w:pos="2880"/>
        </w:tabs>
        <w:ind w:left="2880" w:hanging="360"/>
      </w:pPr>
      <w:rPr>
        <w:rFonts w:ascii="Ericsson Capital TT" w:hAnsi="Ericsson Capital TT" w:hint="default"/>
      </w:rPr>
    </w:lvl>
    <w:lvl w:ilvl="4" w:tplc="50484AD4" w:tentative="1">
      <w:start w:val="1"/>
      <w:numFmt w:val="bullet"/>
      <w:lvlText w:val="–"/>
      <w:lvlJc w:val="left"/>
      <w:pPr>
        <w:tabs>
          <w:tab w:val="num" w:pos="3600"/>
        </w:tabs>
        <w:ind w:left="3600" w:hanging="360"/>
      </w:pPr>
      <w:rPr>
        <w:rFonts w:ascii="Ericsson Capital TT" w:hAnsi="Ericsson Capital TT" w:hint="default"/>
      </w:rPr>
    </w:lvl>
    <w:lvl w:ilvl="5" w:tplc="1A54610E" w:tentative="1">
      <w:start w:val="1"/>
      <w:numFmt w:val="bullet"/>
      <w:lvlText w:val="–"/>
      <w:lvlJc w:val="left"/>
      <w:pPr>
        <w:tabs>
          <w:tab w:val="num" w:pos="4320"/>
        </w:tabs>
        <w:ind w:left="4320" w:hanging="360"/>
      </w:pPr>
      <w:rPr>
        <w:rFonts w:ascii="Ericsson Capital TT" w:hAnsi="Ericsson Capital TT" w:hint="default"/>
      </w:rPr>
    </w:lvl>
    <w:lvl w:ilvl="6" w:tplc="EF226A4E" w:tentative="1">
      <w:start w:val="1"/>
      <w:numFmt w:val="bullet"/>
      <w:lvlText w:val="–"/>
      <w:lvlJc w:val="left"/>
      <w:pPr>
        <w:tabs>
          <w:tab w:val="num" w:pos="5040"/>
        </w:tabs>
        <w:ind w:left="5040" w:hanging="360"/>
      </w:pPr>
      <w:rPr>
        <w:rFonts w:ascii="Ericsson Capital TT" w:hAnsi="Ericsson Capital TT" w:hint="default"/>
      </w:rPr>
    </w:lvl>
    <w:lvl w:ilvl="7" w:tplc="97DEAD30" w:tentative="1">
      <w:start w:val="1"/>
      <w:numFmt w:val="bullet"/>
      <w:lvlText w:val="–"/>
      <w:lvlJc w:val="left"/>
      <w:pPr>
        <w:tabs>
          <w:tab w:val="num" w:pos="5760"/>
        </w:tabs>
        <w:ind w:left="5760" w:hanging="360"/>
      </w:pPr>
      <w:rPr>
        <w:rFonts w:ascii="Ericsson Capital TT" w:hAnsi="Ericsson Capital TT" w:hint="default"/>
      </w:rPr>
    </w:lvl>
    <w:lvl w:ilvl="8" w:tplc="9718F2C8" w:tentative="1">
      <w:start w:val="1"/>
      <w:numFmt w:val="bullet"/>
      <w:lvlText w:val="–"/>
      <w:lvlJc w:val="left"/>
      <w:pPr>
        <w:tabs>
          <w:tab w:val="num" w:pos="6480"/>
        </w:tabs>
        <w:ind w:left="6480" w:hanging="360"/>
      </w:pPr>
      <w:rPr>
        <w:rFonts w:ascii="Ericsson Capital TT" w:hAnsi="Ericsson Capital TT" w:hint="default"/>
      </w:rPr>
    </w:lvl>
  </w:abstractNum>
  <w:abstractNum w:abstractNumId="19">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1">
    <w:nsid w:val="66E23300"/>
    <w:multiLevelType w:val="hybridMultilevel"/>
    <w:tmpl w:val="A1F0E9EC"/>
    <w:lvl w:ilvl="0" w:tplc="85AC9C68">
      <w:start w:val="1"/>
      <w:numFmt w:val="bullet"/>
      <w:lvlText w:val="›"/>
      <w:lvlJc w:val="left"/>
      <w:pPr>
        <w:tabs>
          <w:tab w:val="num" w:pos="720"/>
        </w:tabs>
        <w:ind w:left="720" w:hanging="360"/>
      </w:pPr>
      <w:rPr>
        <w:rFonts w:ascii="Arial" w:hAnsi="Arial" w:hint="default"/>
      </w:rPr>
    </w:lvl>
    <w:lvl w:ilvl="1" w:tplc="D21AB386" w:tentative="1">
      <w:start w:val="1"/>
      <w:numFmt w:val="bullet"/>
      <w:lvlText w:val="›"/>
      <w:lvlJc w:val="left"/>
      <w:pPr>
        <w:tabs>
          <w:tab w:val="num" w:pos="1440"/>
        </w:tabs>
        <w:ind w:left="1440" w:hanging="360"/>
      </w:pPr>
      <w:rPr>
        <w:rFonts w:ascii="Arial" w:hAnsi="Arial" w:hint="default"/>
      </w:rPr>
    </w:lvl>
    <w:lvl w:ilvl="2" w:tplc="D368D5A8" w:tentative="1">
      <w:start w:val="1"/>
      <w:numFmt w:val="bullet"/>
      <w:lvlText w:val="›"/>
      <w:lvlJc w:val="left"/>
      <w:pPr>
        <w:tabs>
          <w:tab w:val="num" w:pos="2160"/>
        </w:tabs>
        <w:ind w:left="2160" w:hanging="360"/>
      </w:pPr>
      <w:rPr>
        <w:rFonts w:ascii="Arial" w:hAnsi="Arial" w:hint="default"/>
      </w:rPr>
    </w:lvl>
    <w:lvl w:ilvl="3" w:tplc="14CE824E" w:tentative="1">
      <w:start w:val="1"/>
      <w:numFmt w:val="bullet"/>
      <w:lvlText w:val="›"/>
      <w:lvlJc w:val="left"/>
      <w:pPr>
        <w:tabs>
          <w:tab w:val="num" w:pos="2880"/>
        </w:tabs>
        <w:ind w:left="2880" w:hanging="360"/>
      </w:pPr>
      <w:rPr>
        <w:rFonts w:ascii="Arial" w:hAnsi="Arial" w:hint="default"/>
      </w:rPr>
    </w:lvl>
    <w:lvl w:ilvl="4" w:tplc="7AEE66E0" w:tentative="1">
      <w:start w:val="1"/>
      <w:numFmt w:val="bullet"/>
      <w:lvlText w:val="›"/>
      <w:lvlJc w:val="left"/>
      <w:pPr>
        <w:tabs>
          <w:tab w:val="num" w:pos="3600"/>
        </w:tabs>
        <w:ind w:left="3600" w:hanging="360"/>
      </w:pPr>
      <w:rPr>
        <w:rFonts w:ascii="Arial" w:hAnsi="Arial" w:hint="default"/>
      </w:rPr>
    </w:lvl>
    <w:lvl w:ilvl="5" w:tplc="2A6CC8E0" w:tentative="1">
      <w:start w:val="1"/>
      <w:numFmt w:val="bullet"/>
      <w:lvlText w:val="›"/>
      <w:lvlJc w:val="left"/>
      <w:pPr>
        <w:tabs>
          <w:tab w:val="num" w:pos="4320"/>
        </w:tabs>
        <w:ind w:left="4320" w:hanging="360"/>
      </w:pPr>
      <w:rPr>
        <w:rFonts w:ascii="Arial" w:hAnsi="Arial" w:hint="default"/>
      </w:rPr>
    </w:lvl>
    <w:lvl w:ilvl="6" w:tplc="F4AAD3E0" w:tentative="1">
      <w:start w:val="1"/>
      <w:numFmt w:val="bullet"/>
      <w:lvlText w:val="›"/>
      <w:lvlJc w:val="left"/>
      <w:pPr>
        <w:tabs>
          <w:tab w:val="num" w:pos="5040"/>
        </w:tabs>
        <w:ind w:left="5040" w:hanging="360"/>
      </w:pPr>
      <w:rPr>
        <w:rFonts w:ascii="Arial" w:hAnsi="Arial" w:hint="default"/>
      </w:rPr>
    </w:lvl>
    <w:lvl w:ilvl="7" w:tplc="D542F904" w:tentative="1">
      <w:start w:val="1"/>
      <w:numFmt w:val="bullet"/>
      <w:lvlText w:val="›"/>
      <w:lvlJc w:val="left"/>
      <w:pPr>
        <w:tabs>
          <w:tab w:val="num" w:pos="5760"/>
        </w:tabs>
        <w:ind w:left="5760" w:hanging="360"/>
      </w:pPr>
      <w:rPr>
        <w:rFonts w:ascii="Arial" w:hAnsi="Arial" w:hint="default"/>
      </w:rPr>
    </w:lvl>
    <w:lvl w:ilvl="8" w:tplc="BE2C43E6" w:tentative="1">
      <w:start w:val="1"/>
      <w:numFmt w:val="bullet"/>
      <w:lvlText w:val="›"/>
      <w:lvlJc w:val="left"/>
      <w:pPr>
        <w:tabs>
          <w:tab w:val="num" w:pos="6480"/>
        </w:tabs>
        <w:ind w:left="6480" w:hanging="360"/>
      </w:pPr>
      <w:rPr>
        <w:rFonts w:ascii="Arial" w:hAnsi="Arial" w:hint="default"/>
      </w:rPr>
    </w:lvl>
  </w:abstractNum>
  <w:abstractNum w:abstractNumId="22">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A046401"/>
    <w:multiLevelType w:val="hybridMultilevel"/>
    <w:tmpl w:val="202E04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1DA0340"/>
    <w:multiLevelType w:val="hybridMultilevel"/>
    <w:tmpl w:val="A7528264"/>
    <w:lvl w:ilvl="0" w:tplc="96FE355A">
      <w:start w:val="1"/>
      <w:numFmt w:val="bullet"/>
      <w:lvlText w:val="–"/>
      <w:lvlJc w:val="left"/>
      <w:pPr>
        <w:tabs>
          <w:tab w:val="num" w:pos="720"/>
        </w:tabs>
        <w:ind w:left="720" w:hanging="360"/>
      </w:pPr>
      <w:rPr>
        <w:rFonts w:ascii="Ericsson Capital TT" w:hAnsi="Ericsson Capital TT" w:hint="default"/>
      </w:rPr>
    </w:lvl>
    <w:lvl w:ilvl="1" w:tplc="1826E700">
      <w:start w:val="1"/>
      <w:numFmt w:val="bullet"/>
      <w:lvlText w:val="–"/>
      <w:lvlJc w:val="left"/>
      <w:pPr>
        <w:tabs>
          <w:tab w:val="num" w:pos="1440"/>
        </w:tabs>
        <w:ind w:left="1440" w:hanging="360"/>
      </w:pPr>
      <w:rPr>
        <w:rFonts w:ascii="Ericsson Capital TT" w:hAnsi="Ericsson Capital TT" w:hint="default"/>
      </w:rPr>
    </w:lvl>
    <w:lvl w:ilvl="2" w:tplc="874E51D0">
      <w:start w:val="9016"/>
      <w:numFmt w:val="bullet"/>
      <w:lvlText w:val="›"/>
      <w:lvlJc w:val="left"/>
      <w:pPr>
        <w:tabs>
          <w:tab w:val="num" w:pos="2160"/>
        </w:tabs>
        <w:ind w:left="2160" w:hanging="360"/>
      </w:pPr>
      <w:rPr>
        <w:rFonts w:ascii="Ericsson Capital TT" w:hAnsi="Ericsson Capital TT" w:hint="default"/>
      </w:rPr>
    </w:lvl>
    <w:lvl w:ilvl="3" w:tplc="22FA5A62" w:tentative="1">
      <w:start w:val="1"/>
      <w:numFmt w:val="bullet"/>
      <w:lvlText w:val="–"/>
      <w:lvlJc w:val="left"/>
      <w:pPr>
        <w:tabs>
          <w:tab w:val="num" w:pos="2880"/>
        </w:tabs>
        <w:ind w:left="2880" w:hanging="360"/>
      </w:pPr>
      <w:rPr>
        <w:rFonts w:ascii="Ericsson Capital TT" w:hAnsi="Ericsson Capital TT" w:hint="default"/>
      </w:rPr>
    </w:lvl>
    <w:lvl w:ilvl="4" w:tplc="CB02C076" w:tentative="1">
      <w:start w:val="1"/>
      <w:numFmt w:val="bullet"/>
      <w:lvlText w:val="–"/>
      <w:lvlJc w:val="left"/>
      <w:pPr>
        <w:tabs>
          <w:tab w:val="num" w:pos="3600"/>
        </w:tabs>
        <w:ind w:left="3600" w:hanging="360"/>
      </w:pPr>
      <w:rPr>
        <w:rFonts w:ascii="Ericsson Capital TT" w:hAnsi="Ericsson Capital TT" w:hint="default"/>
      </w:rPr>
    </w:lvl>
    <w:lvl w:ilvl="5" w:tplc="E0A49230" w:tentative="1">
      <w:start w:val="1"/>
      <w:numFmt w:val="bullet"/>
      <w:lvlText w:val="–"/>
      <w:lvlJc w:val="left"/>
      <w:pPr>
        <w:tabs>
          <w:tab w:val="num" w:pos="4320"/>
        </w:tabs>
        <w:ind w:left="4320" w:hanging="360"/>
      </w:pPr>
      <w:rPr>
        <w:rFonts w:ascii="Ericsson Capital TT" w:hAnsi="Ericsson Capital TT" w:hint="default"/>
      </w:rPr>
    </w:lvl>
    <w:lvl w:ilvl="6" w:tplc="E36E6F02" w:tentative="1">
      <w:start w:val="1"/>
      <w:numFmt w:val="bullet"/>
      <w:lvlText w:val="–"/>
      <w:lvlJc w:val="left"/>
      <w:pPr>
        <w:tabs>
          <w:tab w:val="num" w:pos="5040"/>
        </w:tabs>
        <w:ind w:left="5040" w:hanging="360"/>
      </w:pPr>
      <w:rPr>
        <w:rFonts w:ascii="Ericsson Capital TT" w:hAnsi="Ericsson Capital TT" w:hint="default"/>
      </w:rPr>
    </w:lvl>
    <w:lvl w:ilvl="7" w:tplc="FA9E2E42" w:tentative="1">
      <w:start w:val="1"/>
      <w:numFmt w:val="bullet"/>
      <w:lvlText w:val="–"/>
      <w:lvlJc w:val="left"/>
      <w:pPr>
        <w:tabs>
          <w:tab w:val="num" w:pos="5760"/>
        </w:tabs>
        <w:ind w:left="5760" w:hanging="360"/>
      </w:pPr>
      <w:rPr>
        <w:rFonts w:ascii="Ericsson Capital TT" w:hAnsi="Ericsson Capital TT" w:hint="default"/>
      </w:rPr>
    </w:lvl>
    <w:lvl w:ilvl="8" w:tplc="17C2D6A6" w:tentative="1">
      <w:start w:val="1"/>
      <w:numFmt w:val="bullet"/>
      <w:lvlText w:val="–"/>
      <w:lvlJc w:val="left"/>
      <w:pPr>
        <w:tabs>
          <w:tab w:val="num" w:pos="6480"/>
        </w:tabs>
        <w:ind w:left="6480" w:hanging="360"/>
      </w:pPr>
      <w:rPr>
        <w:rFonts w:ascii="Ericsson Capital TT" w:hAnsi="Ericsson Capital TT" w:hint="default"/>
      </w:rPr>
    </w:lvl>
  </w:abstractNum>
  <w:abstractNum w:abstractNumId="25">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19"/>
  </w:num>
  <w:num w:numId="5">
    <w:abstractNumId w:val="25"/>
  </w:num>
  <w:num w:numId="6">
    <w:abstractNumId w:val="14"/>
  </w:num>
  <w:num w:numId="7">
    <w:abstractNumId w:val="23"/>
  </w:num>
  <w:num w:numId="8">
    <w:abstractNumId w:val="5"/>
  </w:num>
  <w:num w:numId="9">
    <w:abstractNumId w:val="20"/>
  </w:num>
  <w:num w:numId="10">
    <w:abstractNumId w:val="1"/>
  </w:num>
  <w:num w:numId="11">
    <w:abstractNumId w:val="15"/>
  </w:num>
  <w:num w:numId="12">
    <w:abstractNumId w:val="13"/>
  </w:num>
  <w:num w:numId="13">
    <w:abstractNumId w:val="17"/>
  </w:num>
  <w:num w:numId="14">
    <w:abstractNumId w:val="21"/>
  </w:num>
  <w:num w:numId="15">
    <w:abstractNumId w:val="12"/>
  </w:num>
  <w:num w:numId="16">
    <w:abstractNumId w:val="24"/>
  </w:num>
  <w:num w:numId="17">
    <w:abstractNumId w:val="11"/>
  </w:num>
  <w:num w:numId="18">
    <w:abstractNumId w:val="18"/>
  </w:num>
  <w:num w:numId="19">
    <w:abstractNumId w:val="0"/>
  </w:num>
  <w:num w:numId="20">
    <w:abstractNumId w:val="8"/>
  </w:num>
  <w:num w:numId="21">
    <w:abstractNumId w:val="4"/>
  </w:num>
  <w:num w:numId="22">
    <w:abstractNumId w:val="16"/>
  </w:num>
  <w:num w:numId="23">
    <w:abstractNumId w:val="6"/>
  </w:num>
  <w:num w:numId="24">
    <w:abstractNumId w:val="10"/>
  </w:num>
  <w:num w:numId="25">
    <w:abstractNumId w:val="2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23789"/>
    <w:rsid w:val="000461C3"/>
    <w:rsid w:val="00085902"/>
    <w:rsid w:val="000B7D3C"/>
    <w:rsid w:val="000C0F63"/>
    <w:rsid w:val="000C7997"/>
    <w:rsid w:val="000D7A3A"/>
    <w:rsid w:val="001050F8"/>
    <w:rsid w:val="001318C2"/>
    <w:rsid w:val="00151842"/>
    <w:rsid w:val="00157D1C"/>
    <w:rsid w:val="00171036"/>
    <w:rsid w:val="001A711C"/>
    <w:rsid w:val="001D5BE4"/>
    <w:rsid w:val="001E335B"/>
    <w:rsid w:val="001F127F"/>
    <w:rsid w:val="001F435E"/>
    <w:rsid w:val="002026C2"/>
    <w:rsid w:val="00215DBE"/>
    <w:rsid w:val="00224930"/>
    <w:rsid w:val="00233F90"/>
    <w:rsid w:val="00246058"/>
    <w:rsid w:val="00250AD5"/>
    <w:rsid w:val="002616F8"/>
    <w:rsid w:val="002808CB"/>
    <w:rsid w:val="002907E3"/>
    <w:rsid w:val="00292CED"/>
    <w:rsid w:val="00292EE2"/>
    <w:rsid w:val="002A2C20"/>
    <w:rsid w:val="002C5A31"/>
    <w:rsid w:val="002D6988"/>
    <w:rsid w:val="002E1FC3"/>
    <w:rsid w:val="002E5C2B"/>
    <w:rsid w:val="00312A71"/>
    <w:rsid w:val="00325B95"/>
    <w:rsid w:val="00337B23"/>
    <w:rsid w:val="003667CB"/>
    <w:rsid w:val="003760E0"/>
    <w:rsid w:val="003826E8"/>
    <w:rsid w:val="003A13B3"/>
    <w:rsid w:val="003B2E7F"/>
    <w:rsid w:val="003B59CD"/>
    <w:rsid w:val="003D33C5"/>
    <w:rsid w:val="003D3F0D"/>
    <w:rsid w:val="003E0EC7"/>
    <w:rsid w:val="003F3AD5"/>
    <w:rsid w:val="003F7020"/>
    <w:rsid w:val="0041077B"/>
    <w:rsid w:val="00423411"/>
    <w:rsid w:val="00434374"/>
    <w:rsid w:val="00452667"/>
    <w:rsid w:val="00474874"/>
    <w:rsid w:val="004812FC"/>
    <w:rsid w:val="004854ED"/>
    <w:rsid w:val="00491E07"/>
    <w:rsid w:val="004B27A4"/>
    <w:rsid w:val="004B2CF3"/>
    <w:rsid w:val="004C31A2"/>
    <w:rsid w:val="004D43E3"/>
    <w:rsid w:val="004F276B"/>
    <w:rsid w:val="00514185"/>
    <w:rsid w:val="0051589C"/>
    <w:rsid w:val="00532C13"/>
    <w:rsid w:val="00532E2F"/>
    <w:rsid w:val="00542E33"/>
    <w:rsid w:val="005605C3"/>
    <w:rsid w:val="0058262E"/>
    <w:rsid w:val="005848A6"/>
    <w:rsid w:val="00597D8A"/>
    <w:rsid w:val="005A1708"/>
    <w:rsid w:val="005D04BC"/>
    <w:rsid w:val="0060417B"/>
    <w:rsid w:val="006158A2"/>
    <w:rsid w:val="006245E7"/>
    <w:rsid w:val="006449BD"/>
    <w:rsid w:val="00655AFE"/>
    <w:rsid w:val="00667621"/>
    <w:rsid w:val="00670217"/>
    <w:rsid w:val="006705D6"/>
    <w:rsid w:val="00671F9A"/>
    <w:rsid w:val="00673D9C"/>
    <w:rsid w:val="0069039B"/>
    <w:rsid w:val="00690EB5"/>
    <w:rsid w:val="0069218B"/>
    <w:rsid w:val="00695B06"/>
    <w:rsid w:val="006A70B1"/>
    <w:rsid w:val="006B17D9"/>
    <w:rsid w:val="006B2A3E"/>
    <w:rsid w:val="006C1440"/>
    <w:rsid w:val="006C42AF"/>
    <w:rsid w:val="006E15E7"/>
    <w:rsid w:val="006E1ADB"/>
    <w:rsid w:val="006E6DE5"/>
    <w:rsid w:val="007028D9"/>
    <w:rsid w:val="007136B1"/>
    <w:rsid w:val="00726954"/>
    <w:rsid w:val="0073097A"/>
    <w:rsid w:val="007406E2"/>
    <w:rsid w:val="007477D7"/>
    <w:rsid w:val="007564DC"/>
    <w:rsid w:val="007A37EC"/>
    <w:rsid w:val="007B27ED"/>
    <w:rsid w:val="007B3594"/>
    <w:rsid w:val="007C20D8"/>
    <w:rsid w:val="007C64FD"/>
    <w:rsid w:val="007C66CA"/>
    <w:rsid w:val="007F65EF"/>
    <w:rsid w:val="007F6666"/>
    <w:rsid w:val="007F7E69"/>
    <w:rsid w:val="0081767F"/>
    <w:rsid w:val="00832E74"/>
    <w:rsid w:val="008344C9"/>
    <w:rsid w:val="00852649"/>
    <w:rsid w:val="008723EE"/>
    <w:rsid w:val="00882499"/>
    <w:rsid w:val="00894C94"/>
    <w:rsid w:val="008A5AB6"/>
    <w:rsid w:val="008B5412"/>
    <w:rsid w:val="008D75CF"/>
    <w:rsid w:val="008F303E"/>
    <w:rsid w:val="008F6581"/>
    <w:rsid w:val="00933F62"/>
    <w:rsid w:val="00934CA7"/>
    <w:rsid w:val="00936530"/>
    <w:rsid w:val="0093754C"/>
    <w:rsid w:val="009415B5"/>
    <w:rsid w:val="009545DA"/>
    <w:rsid w:val="00961E5D"/>
    <w:rsid w:val="00962FC1"/>
    <w:rsid w:val="00980DC6"/>
    <w:rsid w:val="009852D3"/>
    <w:rsid w:val="009B0A83"/>
    <w:rsid w:val="009B2553"/>
    <w:rsid w:val="009B36E6"/>
    <w:rsid w:val="009B4E85"/>
    <w:rsid w:val="009F0FCA"/>
    <w:rsid w:val="00A00D4D"/>
    <w:rsid w:val="00A240B1"/>
    <w:rsid w:val="00A32333"/>
    <w:rsid w:val="00A37129"/>
    <w:rsid w:val="00A43C13"/>
    <w:rsid w:val="00A51FFE"/>
    <w:rsid w:val="00A776FE"/>
    <w:rsid w:val="00A839A2"/>
    <w:rsid w:val="00A84C6B"/>
    <w:rsid w:val="00AA18EE"/>
    <w:rsid w:val="00AA4A2F"/>
    <w:rsid w:val="00AC33F9"/>
    <w:rsid w:val="00AF3247"/>
    <w:rsid w:val="00B00C24"/>
    <w:rsid w:val="00B03C86"/>
    <w:rsid w:val="00B1213B"/>
    <w:rsid w:val="00B4030B"/>
    <w:rsid w:val="00B46EFC"/>
    <w:rsid w:val="00B5508F"/>
    <w:rsid w:val="00B663F1"/>
    <w:rsid w:val="00B66BEA"/>
    <w:rsid w:val="00B751AC"/>
    <w:rsid w:val="00B85CF5"/>
    <w:rsid w:val="00B9773C"/>
    <w:rsid w:val="00BA79DB"/>
    <w:rsid w:val="00BC6899"/>
    <w:rsid w:val="00BD50BE"/>
    <w:rsid w:val="00BE31F7"/>
    <w:rsid w:val="00BF2040"/>
    <w:rsid w:val="00C01647"/>
    <w:rsid w:val="00C06C0D"/>
    <w:rsid w:val="00C20F53"/>
    <w:rsid w:val="00C43C2A"/>
    <w:rsid w:val="00C45056"/>
    <w:rsid w:val="00C528B4"/>
    <w:rsid w:val="00C620B1"/>
    <w:rsid w:val="00C74929"/>
    <w:rsid w:val="00C75F1A"/>
    <w:rsid w:val="00C846D4"/>
    <w:rsid w:val="00C96C5E"/>
    <w:rsid w:val="00CC37AB"/>
    <w:rsid w:val="00CE64F9"/>
    <w:rsid w:val="00CF35B3"/>
    <w:rsid w:val="00CF509F"/>
    <w:rsid w:val="00D228A2"/>
    <w:rsid w:val="00D238AF"/>
    <w:rsid w:val="00D31866"/>
    <w:rsid w:val="00D32657"/>
    <w:rsid w:val="00D350B8"/>
    <w:rsid w:val="00D70DFC"/>
    <w:rsid w:val="00DA52BF"/>
    <w:rsid w:val="00DA585B"/>
    <w:rsid w:val="00DA5B58"/>
    <w:rsid w:val="00DE2B99"/>
    <w:rsid w:val="00DE62CB"/>
    <w:rsid w:val="00DE6460"/>
    <w:rsid w:val="00E12111"/>
    <w:rsid w:val="00E27439"/>
    <w:rsid w:val="00E27DCD"/>
    <w:rsid w:val="00E32EA0"/>
    <w:rsid w:val="00E36161"/>
    <w:rsid w:val="00E85773"/>
    <w:rsid w:val="00E96A24"/>
    <w:rsid w:val="00EA2B89"/>
    <w:rsid w:val="00EA5B5E"/>
    <w:rsid w:val="00EB05CD"/>
    <w:rsid w:val="00EB2B6F"/>
    <w:rsid w:val="00EC035C"/>
    <w:rsid w:val="00ED3E74"/>
    <w:rsid w:val="00ED4AC3"/>
    <w:rsid w:val="00EE3BA3"/>
    <w:rsid w:val="00EF2A67"/>
    <w:rsid w:val="00F06D6E"/>
    <w:rsid w:val="00F14291"/>
    <w:rsid w:val="00F33E0A"/>
    <w:rsid w:val="00F40F0F"/>
    <w:rsid w:val="00F44842"/>
    <w:rsid w:val="00F73970"/>
    <w:rsid w:val="00F765FA"/>
    <w:rsid w:val="00F900BF"/>
    <w:rsid w:val="00F91CB6"/>
    <w:rsid w:val="00FA55CE"/>
    <w:rsid w:val="00FC4E2F"/>
    <w:rsid w:val="00F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1F7"/>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E31F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customStyle="1" w:styleId="ZT">
    <w:name w:val="ZT"/>
    <w:rsid w:val="00491E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Heading4Char">
    <w:name w:val="Heading 4 Char"/>
    <w:basedOn w:val="DefaultParagraphFont"/>
    <w:link w:val="Heading4"/>
    <w:rsid w:val="00BE31F7"/>
    <w:rPr>
      <w:rFonts w:asciiTheme="majorHAnsi" w:eastAsiaTheme="majorEastAsia" w:hAnsiTheme="majorHAnsi" w:cstheme="majorBidi"/>
      <w:b/>
      <w:bCs/>
      <w:i/>
      <w:iCs/>
      <w:color w:val="4F81BD" w:themeColor="accent1"/>
    </w:rPr>
  </w:style>
  <w:style w:type="paragraph" w:customStyle="1" w:styleId="NO">
    <w:name w:val="NO"/>
    <w:basedOn w:val="Normal"/>
    <w:link w:val="NOChar"/>
    <w:rsid w:val="00BE31F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character" w:customStyle="1" w:styleId="NOChar">
    <w:name w:val="NO Char"/>
    <w:basedOn w:val="DefaultParagraphFont"/>
    <w:link w:val="NO"/>
    <w:rsid w:val="00BE31F7"/>
    <w:rPr>
      <w:rFonts w:ascii="Times New Roman" w:eastAsia="Times New Roman" w:hAnsi="Times New Roman" w:cs="Times New Roman"/>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1F7"/>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E31F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customStyle="1" w:styleId="ZT">
    <w:name w:val="ZT"/>
    <w:rsid w:val="00491E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Heading4Char">
    <w:name w:val="Heading 4 Char"/>
    <w:basedOn w:val="DefaultParagraphFont"/>
    <w:link w:val="Heading4"/>
    <w:rsid w:val="00BE31F7"/>
    <w:rPr>
      <w:rFonts w:asciiTheme="majorHAnsi" w:eastAsiaTheme="majorEastAsia" w:hAnsiTheme="majorHAnsi" w:cstheme="majorBidi"/>
      <w:b/>
      <w:bCs/>
      <w:i/>
      <w:iCs/>
      <w:color w:val="4F81BD" w:themeColor="accent1"/>
    </w:rPr>
  </w:style>
  <w:style w:type="paragraph" w:customStyle="1" w:styleId="NO">
    <w:name w:val="NO"/>
    <w:basedOn w:val="Normal"/>
    <w:link w:val="NOChar"/>
    <w:rsid w:val="00BE31F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character" w:customStyle="1" w:styleId="NOChar">
    <w:name w:val="NO Char"/>
    <w:basedOn w:val="DefaultParagraphFont"/>
    <w:link w:val="NO"/>
    <w:rsid w:val="00BE31F7"/>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44314">
      <w:bodyDiv w:val="1"/>
      <w:marLeft w:val="0"/>
      <w:marRight w:val="0"/>
      <w:marTop w:val="0"/>
      <w:marBottom w:val="0"/>
      <w:divBdr>
        <w:top w:val="none" w:sz="0" w:space="0" w:color="auto"/>
        <w:left w:val="none" w:sz="0" w:space="0" w:color="auto"/>
        <w:bottom w:val="none" w:sz="0" w:space="0" w:color="auto"/>
        <w:right w:val="none" w:sz="0" w:space="0" w:color="auto"/>
      </w:divBdr>
      <w:divsChild>
        <w:div w:id="1612741045">
          <w:marLeft w:val="835"/>
          <w:marRight w:val="0"/>
          <w:marTop w:val="77"/>
          <w:marBottom w:val="0"/>
          <w:divBdr>
            <w:top w:val="none" w:sz="0" w:space="0" w:color="auto"/>
            <w:left w:val="none" w:sz="0" w:space="0" w:color="auto"/>
            <w:bottom w:val="none" w:sz="0" w:space="0" w:color="auto"/>
            <w:right w:val="none" w:sz="0" w:space="0" w:color="auto"/>
          </w:divBdr>
        </w:div>
        <w:div w:id="465046023">
          <w:marLeft w:val="835"/>
          <w:marRight w:val="0"/>
          <w:marTop w:val="77"/>
          <w:marBottom w:val="0"/>
          <w:divBdr>
            <w:top w:val="none" w:sz="0" w:space="0" w:color="auto"/>
            <w:left w:val="none" w:sz="0" w:space="0" w:color="auto"/>
            <w:bottom w:val="none" w:sz="0" w:space="0" w:color="auto"/>
            <w:right w:val="none" w:sz="0" w:space="0" w:color="auto"/>
          </w:divBdr>
        </w:div>
        <w:div w:id="2043508258">
          <w:marLeft w:val="835"/>
          <w:marRight w:val="0"/>
          <w:marTop w:val="77"/>
          <w:marBottom w:val="0"/>
          <w:divBdr>
            <w:top w:val="none" w:sz="0" w:space="0" w:color="auto"/>
            <w:left w:val="none" w:sz="0" w:space="0" w:color="auto"/>
            <w:bottom w:val="none" w:sz="0" w:space="0" w:color="auto"/>
            <w:right w:val="none" w:sz="0" w:space="0" w:color="auto"/>
          </w:divBdr>
        </w:div>
        <w:div w:id="1922523287">
          <w:marLeft w:val="835"/>
          <w:marRight w:val="0"/>
          <w:marTop w:val="77"/>
          <w:marBottom w:val="0"/>
          <w:divBdr>
            <w:top w:val="none" w:sz="0" w:space="0" w:color="auto"/>
            <w:left w:val="none" w:sz="0" w:space="0" w:color="auto"/>
            <w:bottom w:val="none" w:sz="0" w:space="0" w:color="auto"/>
            <w:right w:val="none" w:sz="0" w:space="0" w:color="auto"/>
          </w:divBdr>
        </w:div>
        <w:div w:id="478159778">
          <w:marLeft w:val="835"/>
          <w:marRight w:val="0"/>
          <w:marTop w:val="77"/>
          <w:marBottom w:val="0"/>
          <w:divBdr>
            <w:top w:val="none" w:sz="0" w:space="0" w:color="auto"/>
            <w:left w:val="none" w:sz="0" w:space="0" w:color="auto"/>
            <w:bottom w:val="none" w:sz="0" w:space="0" w:color="auto"/>
            <w:right w:val="none" w:sz="0" w:space="0" w:color="auto"/>
          </w:divBdr>
        </w:div>
      </w:divsChild>
    </w:div>
    <w:div w:id="846334307">
      <w:bodyDiv w:val="1"/>
      <w:marLeft w:val="0"/>
      <w:marRight w:val="0"/>
      <w:marTop w:val="0"/>
      <w:marBottom w:val="0"/>
      <w:divBdr>
        <w:top w:val="none" w:sz="0" w:space="0" w:color="auto"/>
        <w:left w:val="none" w:sz="0" w:space="0" w:color="auto"/>
        <w:bottom w:val="none" w:sz="0" w:space="0" w:color="auto"/>
        <w:right w:val="none" w:sz="0" w:space="0" w:color="auto"/>
      </w:divBdr>
      <w:divsChild>
        <w:div w:id="1233933112">
          <w:marLeft w:val="835"/>
          <w:marRight w:val="0"/>
          <w:marTop w:val="77"/>
          <w:marBottom w:val="0"/>
          <w:divBdr>
            <w:top w:val="none" w:sz="0" w:space="0" w:color="auto"/>
            <w:left w:val="none" w:sz="0" w:space="0" w:color="auto"/>
            <w:bottom w:val="none" w:sz="0" w:space="0" w:color="auto"/>
            <w:right w:val="none" w:sz="0" w:space="0" w:color="auto"/>
          </w:divBdr>
        </w:div>
      </w:divsChild>
    </w:div>
    <w:div w:id="1081104327">
      <w:bodyDiv w:val="1"/>
      <w:marLeft w:val="0"/>
      <w:marRight w:val="0"/>
      <w:marTop w:val="0"/>
      <w:marBottom w:val="0"/>
      <w:divBdr>
        <w:top w:val="none" w:sz="0" w:space="0" w:color="auto"/>
        <w:left w:val="none" w:sz="0" w:space="0" w:color="auto"/>
        <w:bottom w:val="none" w:sz="0" w:space="0" w:color="auto"/>
        <w:right w:val="none" w:sz="0" w:space="0" w:color="auto"/>
      </w:divBdr>
      <w:divsChild>
        <w:div w:id="298727315">
          <w:marLeft w:val="835"/>
          <w:marRight w:val="0"/>
          <w:marTop w:val="77"/>
          <w:marBottom w:val="0"/>
          <w:divBdr>
            <w:top w:val="none" w:sz="0" w:space="0" w:color="auto"/>
            <w:left w:val="none" w:sz="0" w:space="0" w:color="auto"/>
            <w:bottom w:val="none" w:sz="0" w:space="0" w:color="auto"/>
            <w:right w:val="none" w:sz="0" w:space="0" w:color="auto"/>
          </w:divBdr>
        </w:div>
        <w:div w:id="833570185">
          <w:marLeft w:val="835"/>
          <w:marRight w:val="0"/>
          <w:marTop w:val="77"/>
          <w:marBottom w:val="0"/>
          <w:divBdr>
            <w:top w:val="none" w:sz="0" w:space="0" w:color="auto"/>
            <w:left w:val="none" w:sz="0" w:space="0" w:color="auto"/>
            <w:bottom w:val="none" w:sz="0" w:space="0" w:color="auto"/>
            <w:right w:val="none" w:sz="0" w:space="0" w:color="auto"/>
          </w:divBdr>
        </w:div>
        <w:div w:id="858080349">
          <w:marLeft w:val="835"/>
          <w:marRight w:val="0"/>
          <w:marTop w:val="77"/>
          <w:marBottom w:val="0"/>
          <w:divBdr>
            <w:top w:val="none" w:sz="0" w:space="0" w:color="auto"/>
            <w:left w:val="none" w:sz="0" w:space="0" w:color="auto"/>
            <w:bottom w:val="none" w:sz="0" w:space="0" w:color="auto"/>
            <w:right w:val="none" w:sz="0" w:space="0" w:color="auto"/>
          </w:divBdr>
        </w:div>
        <w:div w:id="676923257">
          <w:marLeft w:val="1411"/>
          <w:marRight w:val="0"/>
          <w:marTop w:val="77"/>
          <w:marBottom w:val="0"/>
          <w:divBdr>
            <w:top w:val="none" w:sz="0" w:space="0" w:color="auto"/>
            <w:left w:val="none" w:sz="0" w:space="0" w:color="auto"/>
            <w:bottom w:val="none" w:sz="0" w:space="0" w:color="auto"/>
            <w:right w:val="none" w:sz="0" w:space="0" w:color="auto"/>
          </w:divBdr>
        </w:div>
        <w:div w:id="580023190">
          <w:marLeft w:val="835"/>
          <w:marRight w:val="0"/>
          <w:marTop w:val="77"/>
          <w:marBottom w:val="0"/>
          <w:divBdr>
            <w:top w:val="none" w:sz="0" w:space="0" w:color="auto"/>
            <w:left w:val="none" w:sz="0" w:space="0" w:color="auto"/>
            <w:bottom w:val="none" w:sz="0" w:space="0" w:color="auto"/>
            <w:right w:val="none" w:sz="0" w:space="0" w:color="auto"/>
          </w:divBdr>
        </w:div>
        <w:div w:id="1884369043">
          <w:marLeft w:val="835"/>
          <w:marRight w:val="0"/>
          <w:marTop w:val="77"/>
          <w:marBottom w:val="0"/>
          <w:divBdr>
            <w:top w:val="none" w:sz="0" w:space="0" w:color="auto"/>
            <w:left w:val="none" w:sz="0" w:space="0" w:color="auto"/>
            <w:bottom w:val="none" w:sz="0" w:space="0" w:color="auto"/>
            <w:right w:val="none" w:sz="0" w:space="0" w:color="auto"/>
          </w:divBdr>
        </w:div>
        <w:div w:id="404109927">
          <w:marLeft w:val="835"/>
          <w:marRight w:val="0"/>
          <w:marTop w:val="77"/>
          <w:marBottom w:val="0"/>
          <w:divBdr>
            <w:top w:val="none" w:sz="0" w:space="0" w:color="auto"/>
            <w:left w:val="none" w:sz="0" w:space="0" w:color="auto"/>
            <w:bottom w:val="none" w:sz="0" w:space="0" w:color="auto"/>
            <w:right w:val="none" w:sz="0" w:space="0" w:color="auto"/>
          </w:divBdr>
        </w:div>
        <w:div w:id="562258105">
          <w:marLeft w:val="835"/>
          <w:marRight w:val="0"/>
          <w:marTop w:val="77"/>
          <w:marBottom w:val="0"/>
          <w:divBdr>
            <w:top w:val="none" w:sz="0" w:space="0" w:color="auto"/>
            <w:left w:val="none" w:sz="0" w:space="0" w:color="auto"/>
            <w:bottom w:val="none" w:sz="0" w:space="0" w:color="auto"/>
            <w:right w:val="none" w:sz="0" w:space="0" w:color="auto"/>
          </w:divBdr>
        </w:div>
      </w:divsChild>
    </w:div>
    <w:div w:id="1082070123">
      <w:bodyDiv w:val="1"/>
      <w:marLeft w:val="0"/>
      <w:marRight w:val="0"/>
      <w:marTop w:val="0"/>
      <w:marBottom w:val="0"/>
      <w:divBdr>
        <w:top w:val="none" w:sz="0" w:space="0" w:color="auto"/>
        <w:left w:val="none" w:sz="0" w:space="0" w:color="auto"/>
        <w:bottom w:val="none" w:sz="0" w:space="0" w:color="auto"/>
        <w:right w:val="none" w:sz="0" w:space="0" w:color="auto"/>
      </w:divBdr>
      <w:divsChild>
        <w:div w:id="1791321073">
          <w:marLeft w:val="835"/>
          <w:marRight w:val="0"/>
          <w:marTop w:val="77"/>
          <w:marBottom w:val="0"/>
          <w:divBdr>
            <w:top w:val="none" w:sz="0" w:space="0" w:color="auto"/>
            <w:left w:val="none" w:sz="0" w:space="0" w:color="auto"/>
            <w:bottom w:val="none" w:sz="0" w:space="0" w:color="auto"/>
            <w:right w:val="none" w:sz="0" w:space="0" w:color="auto"/>
          </w:divBdr>
        </w:div>
      </w:divsChild>
    </w:div>
    <w:div w:id="1376007977">
      <w:bodyDiv w:val="1"/>
      <w:marLeft w:val="0"/>
      <w:marRight w:val="0"/>
      <w:marTop w:val="0"/>
      <w:marBottom w:val="0"/>
      <w:divBdr>
        <w:top w:val="none" w:sz="0" w:space="0" w:color="auto"/>
        <w:left w:val="none" w:sz="0" w:space="0" w:color="auto"/>
        <w:bottom w:val="none" w:sz="0" w:space="0" w:color="auto"/>
        <w:right w:val="none" w:sz="0" w:space="0" w:color="auto"/>
      </w:divBdr>
      <w:divsChild>
        <w:div w:id="2005932009">
          <w:marLeft w:val="274"/>
          <w:marRight w:val="0"/>
          <w:marTop w:val="86"/>
          <w:marBottom w:val="0"/>
          <w:divBdr>
            <w:top w:val="none" w:sz="0" w:space="0" w:color="auto"/>
            <w:left w:val="none" w:sz="0" w:space="0" w:color="auto"/>
            <w:bottom w:val="none" w:sz="0" w:space="0" w:color="auto"/>
            <w:right w:val="none" w:sz="0" w:space="0" w:color="auto"/>
          </w:divBdr>
        </w:div>
        <w:div w:id="1779715862">
          <w:marLeft w:val="835"/>
          <w:marRight w:val="0"/>
          <w:marTop w:val="77"/>
          <w:marBottom w:val="0"/>
          <w:divBdr>
            <w:top w:val="none" w:sz="0" w:space="0" w:color="auto"/>
            <w:left w:val="none" w:sz="0" w:space="0" w:color="auto"/>
            <w:bottom w:val="none" w:sz="0" w:space="0" w:color="auto"/>
            <w:right w:val="none" w:sz="0" w:space="0" w:color="auto"/>
          </w:divBdr>
        </w:div>
        <w:div w:id="1327708612">
          <w:marLeft w:val="835"/>
          <w:marRight w:val="0"/>
          <w:marTop w:val="77"/>
          <w:marBottom w:val="0"/>
          <w:divBdr>
            <w:top w:val="none" w:sz="0" w:space="0" w:color="auto"/>
            <w:left w:val="none" w:sz="0" w:space="0" w:color="auto"/>
            <w:bottom w:val="none" w:sz="0" w:space="0" w:color="auto"/>
            <w:right w:val="none" w:sz="0" w:space="0" w:color="auto"/>
          </w:divBdr>
        </w:div>
        <w:div w:id="36970749">
          <w:marLeft w:val="835"/>
          <w:marRight w:val="0"/>
          <w:marTop w:val="77"/>
          <w:marBottom w:val="0"/>
          <w:divBdr>
            <w:top w:val="none" w:sz="0" w:space="0" w:color="auto"/>
            <w:left w:val="none" w:sz="0" w:space="0" w:color="auto"/>
            <w:bottom w:val="none" w:sz="0" w:space="0" w:color="auto"/>
            <w:right w:val="none" w:sz="0" w:space="0" w:color="auto"/>
          </w:divBdr>
        </w:div>
        <w:div w:id="1161195515">
          <w:marLeft w:val="1411"/>
          <w:marRight w:val="0"/>
          <w:marTop w:val="77"/>
          <w:marBottom w:val="0"/>
          <w:divBdr>
            <w:top w:val="none" w:sz="0" w:space="0" w:color="auto"/>
            <w:left w:val="none" w:sz="0" w:space="0" w:color="auto"/>
            <w:bottom w:val="none" w:sz="0" w:space="0" w:color="auto"/>
            <w:right w:val="none" w:sz="0" w:space="0" w:color="auto"/>
          </w:divBdr>
        </w:div>
        <w:div w:id="248929214">
          <w:marLeft w:val="1411"/>
          <w:marRight w:val="0"/>
          <w:marTop w:val="77"/>
          <w:marBottom w:val="0"/>
          <w:divBdr>
            <w:top w:val="none" w:sz="0" w:space="0" w:color="auto"/>
            <w:left w:val="none" w:sz="0" w:space="0" w:color="auto"/>
            <w:bottom w:val="none" w:sz="0" w:space="0" w:color="auto"/>
            <w:right w:val="none" w:sz="0" w:space="0" w:color="auto"/>
          </w:divBdr>
        </w:div>
        <w:div w:id="1363633765">
          <w:marLeft w:val="1411"/>
          <w:marRight w:val="0"/>
          <w:marTop w:val="77"/>
          <w:marBottom w:val="0"/>
          <w:divBdr>
            <w:top w:val="none" w:sz="0" w:space="0" w:color="auto"/>
            <w:left w:val="none" w:sz="0" w:space="0" w:color="auto"/>
            <w:bottom w:val="none" w:sz="0" w:space="0" w:color="auto"/>
            <w:right w:val="none" w:sz="0" w:space="0" w:color="auto"/>
          </w:divBdr>
        </w:div>
        <w:div w:id="1038897412">
          <w:marLeft w:val="835"/>
          <w:marRight w:val="0"/>
          <w:marTop w:val="77"/>
          <w:marBottom w:val="0"/>
          <w:divBdr>
            <w:top w:val="none" w:sz="0" w:space="0" w:color="auto"/>
            <w:left w:val="none" w:sz="0" w:space="0" w:color="auto"/>
            <w:bottom w:val="none" w:sz="0" w:space="0" w:color="auto"/>
            <w:right w:val="none" w:sz="0" w:space="0" w:color="auto"/>
          </w:divBdr>
        </w:div>
        <w:div w:id="1449811787">
          <w:marLeft w:val="835"/>
          <w:marRight w:val="0"/>
          <w:marTop w:val="77"/>
          <w:marBottom w:val="0"/>
          <w:divBdr>
            <w:top w:val="none" w:sz="0" w:space="0" w:color="auto"/>
            <w:left w:val="none" w:sz="0" w:space="0" w:color="auto"/>
            <w:bottom w:val="none" w:sz="0" w:space="0" w:color="auto"/>
            <w:right w:val="none" w:sz="0" w:space="0" w:color="auto"/>
          </w:divBdr>
        </w:div>
        <w:div w:id="1307130619">
          <w:marLeft w:val="835"/>
          <w:marRight w:val="0"/>
          <w:marTop w:val="77"/>
          <w:marBottom w:val="0"/>
          <w:divBdr>
            <w:top w:val="none" w:sz="0" w:space="0" w:color="auto"/>
            <w:left w:val="none" w:sz="0" w:space="0" w:color="auto"/>
            <w:bottom w:val="none" w:sz="0" w:space="0" w:color="auto"/>
            <w:right w:val="none" w:sz="0" w:space="0" w:color="auto"/>
          </w:divBdr>
        </w:div>
      </w:divsChild>
    </w:div>
    <w:div w:id="1469201708">
      <w:bodyDiv w:val="1"/>
      <w:marLeft w:val="0"/>
      <w:marRight w:val="0"/>
      <w:marTop w:val="0"/>
      <w:marBottom w:val="0"/>
      <w:divBdr>
        <w:top w:val="none" w:sz="0" w:space="0" w:color="auto"/>
        <w:left w:val="none" w:sz="0" w:space="0" w:color="auto"/>
        <w:bottom w:val="none" w:sz="0" w:space="0" w:color="auto"/>
        <w:right w:val="none" w:sz="0" w:space="0" w:color="auto"/>
      </w:divBdr>
      <w:divsChild>
        <w:div w:id="554657615">
          <w:marLeft w:val="274"/>
          <w:marRight w:val="0"/>
          <w:marTop w:val="86"/>
          <w:marBottom w:val="0"/>
          <w:divBdr>
            <w:top w:val="none" w:sz="0" w:space="0" w:color="auto"/>
            <w:left w:val="none" w:sz="0" w:space="0" w:color="auto"/>
            <w:bottom w:val="none" w:sz="0" w:space="0" w:color="auto"/>
            <w:right w:val="none" w:sz="0" w:space="0" w:color="auto"/>
          </w:divBdr>
        </w:div>
      </w:divsChild>
    </w:div>
    <w:div w:id="1497920336">
      <w:bodyDiv w:val="1"/>
      <w:marLeft w:val="0"/>
      <w:marRight w:val="0"/>
      <w:marTop w:val="0"/>
      <w:marBottom w:val="0"/>
      <w:divBdr>
        <w:top w:val="none" w:sz="0" w:space="0" w:color="auto"/>
        <w:left w:val="none" w:sz="0" w:space="0" w:color="auto"/>
        <w:bottom w:val="none" w:sz="0" w:space="0" w:color="auto"/>
        <w:right w:val="none" w:sz="0" w:space="0" w:color="auto"/>
      </w:divBdr>
      <w:divsChild>
        <w:div w:id="548539262">
          <w:marLeft w:val="274"/>
          <w:marRight w:val="0"/>
          <w:marTop w:val="86"/>
          <w:marBottom w:val="0"/>
          <w:divBdr>
            <w:top w:val="none" w:sz="0" w:space="0" w:color="auto"/>
            <w:left w:val="none" w:sz="0" w:space="0" w:color="auto"/>
            <w:bottom w:val="none" w:sz="0" w:space="0" w:color="auto"/>
            <w:right w:val="none" w:sz="0" w:space="0" w:color="auto"/>
          </w:divBdr>
        </w:div>
        <w:div w:id="660818461">
          <w:marLeft w:val="835"/>
          <w:marRight w:val="0"/>
          <w:marTop w:val="77"/>
          <w:marBottom w:val="0"/>
          <w:divBdr>
            <w:top w:val="none" w:sz="0" w:space="0" w:color="auto"/>
            <w:left w:val="none" w:sz="0" w:space="0" w:color="auto"/>
            <w:bottom w:val="none" w:sz="0" w:space="0" w:color="auto"/>
            <w:right w:val="none" w:sz="0" w:space="0" w:color="auto"/>
          </w:divBdr>
        </w:div>
        <w:div w:id="300351934">
          <w:marLeft w:val="835"/>
          <w:marRight w:val="0"/>
          <w:marTop w:val="77"/>
          <w:marBottom w:val="0"/>
          <w:divBdr>
            <w:top w:val="none" w:sz="0" w:space="0" w:color="auto"/>
            <w:left w:val="none" w:sz="0" w:space="0" w:color="auto"/>
            <w:bottom w:val="none" w:sz="0" w:space="0" w:color="auto"/>
            <w:right w:val="none" w:sz="0" w:space="0" w:color="auto"/>
          </w:divBdr>
        </w:div>
        <w:div w:id="1821382594">
          <w:marLeft w:val="835"/>
          <w:marRight w:val="0"/>
          <w:marTop w:val="77"/>
          <w:marBottom w:val="0"/>
          <w:divBdr>
            <w:top w:val="none" w:sz="0" w:space="0" w:color="auto"/>
            <w:left w:val="none" w:sz="0" w:space="0" w:color="auto"/>
            <w:bottom w:val="none" w:sz="0" w:space="0" w:color="auto"/>
            <w:right w:val="none" w:sz="0" w:space="0" w:color="auto"/>
          </w:divBdr>
        </w:div>
        <w:div w:id="840005457">
          <w:marLeft w:val="835"/>
          <w:marRight w:val="0"/>
          <w:marTop w:val="77"/>
          <w:marBottom w:val="0"/>
          <w:divBdr>
            <w:top w:val="none" w:sz="0" w:space="0" w:color="auto"/>
            <w:left w:val="none" w:sz="0" w:space="0" w:color="auto"/>
            <w:bottom w:val="none" w:sz="0" w:space="0" w:color="auto"/>
            <w:right w:val="none" w:sz="0" w:space="0" w:color="auto"/>
          </w:divBdr>
        </w:div>
        <w:div w:id="1366128344">
          <w:marLeft w:val="835"/>
          <w:marRight w:val="0"/>
          <w:marTop w:val="77"/>
          <w:marBottom w:val="0"/>
          <w:divBdr>
            <w:top w:val="none" w:sz="0" w:space="0" w:color="auto"/>
            <w:left w:val="none" w:sz="0" w:space="0" w:color="auto"/>
            <w:bottom w:val="none" w:sz="0" w:space="0" w:color="auto"/>
            <w:right w:val="none" w:sz="0" w:space="0" w:color="auto"/>
          </w:divBdr>
        </w:div>
      </w:divsChild>
    </w:div>
    <w:div w:id="1812750272">
      <w:bodyDiv w:val="1"/>
      <w:marLeft w:val="0"/>
      <w:marRight w:val="0"/>
      <w:marTop w:val="0"/>
      <w:marBottom w:val="0"/>
      <w:divBdr>
        <w:top w:val="none" w:sz="0" w:space="0" w:color="auto"/>
        <w:left w:val="none" w:sz="0" w:space="0" w:color="auto"/>
        <w:bottom w:val="none" w:sz="0" w:space="0" w:color="auto"/>
        <w:right w:val="none" w:sz="0" w:space="0" w:color="auto"/>
      </w:divBdr>
      <w:divsChild>
        <w:div w:id="2025276957">
          <w:marLeft w:val="835"/>
          <w:marRight w:val="0"/>
          <w:marTop w:val="77"/>
          <w:marBottom w:val="0"/>
          <w:divBdr>
            <w:top w:val="none" w:sz="0" w:space="0" w:color="auto"/>
            <w:left w:val="none" w:sz="0" w:space="0" w:color="auto"/>
            <w:bottom w:val="none" w:sz="0" w:space="0" w:color="auto"/>
            <w:right w:val="none" w:sz="0" w:space="0" w:color="auto"/>
          </w:divBdr>
        </w:div>
        <w:div w:id="101809426">
          <w:marLeft w:val="835"/>
          <w:marRight w:val="0"/>
          <w:marTop w:val="77"/>
          <w:marBottom w:val="0"/>
          <w:divBdr>
            <w:top w:val="none" w:sz="0" w:space="0" w:color="auto"/>
            <w:left w:val="none" w:sz="0" w:space="0" w:color="auto"/>
            <w:bottom w:val="none" w:sz="0" w:space="0" w:color="auto"/>
            <w:right w:val="none" w:sz="0" w:space="0" w:color="auto"/>
          </w:divBdr>
        </w:div>
        <w:div w:id="1614626043">
          <w:marLeft w:val="835"/>
          <w:marRight w:val="0"/>
          <w:marTop w:val="77"/>
          <w:marBottom w:val="0"/>
          <w:divBdr>
            <w:top w:val="none" w:sz="0" w:space="0" w:color="auto"/>
            <w:left w:val="none" w:sz="0" w:space="0" w:color="auto"/>
            <w:bottom w:val="none" w:sz="0" w:space="0" w:color="auto"/>
            <w:right w:val="none" w:sz="0" w:space="0" w:color="auto"/>
          </w:divBdr>
        </w:div>
        <w:div w:id="1477188310">
          <w:marLeft w:val="835"/>
          <w:marRight w:val="0"/>
          <w:marTop w:val="77"/>
          <w:marBottom w:val="0"/>
          <w:divBdr>
            <w:top w:val="none" w:sz="0" w:space="0" w:color="auto"/>
            <w:left w:val="none" w:sz="0" w:space="0" w:color="auto"/>
            <w:bottom w:val="none" w:sz="0" w:space="0" w:color="auto"/>
            <w:right w:val="none" w:sz="0" w:space="0" w:color="auto"/>
          </w:divBdr>
        </w:div>
        <w:div w:id="1613315550">
          <w:marLeft w:val="835"/>
          <w:marRight w:val="0"/>
          <w:marTop w:val="77"/>
          <w:marBottom w:val="0"/>
          <w:divBdr>
            <w:top w:val="none" w:sz="0" w:space="0" w:color="auto"/>
            <w:left w:val="none" w:sz="0" w:space="0" w:color="auto"/>
            <w:bottom w:val="none" w:sz="0" w:space="0" w:color="auto"/>
            <w:right w:val="none" w:sz="0" w:space="0" w:color="auto"/>
          </w:divBdr>
        </w:div>
        <w:div w:id="1263032233">
          <w:marLeft w:val="835"/>
          <w:marRight w:val="0"/>
          <w:marTop w:val="77"/>
          <w:marBottom w:val="0"/>
          <w:divBdr>
            <w:top w:val="none" w:sz="0" w:space="0" w:color="auto"/>
            <w:left w:val="none" w:sz="0" w:space="0" w:color="auto"/>
            <w:bottom w:val="none" w:sz="0" w:space="0" w:color="auto"/>
            <w:right w:val="none" w:sz="0" w:space="0" w:color="auto"/>
          </w:divBdr>
        </w:div>
        <w:div w:id="854536501">
          <w:marLeft w:val="835"/>
          <w:marRight w:val="0"/>
          <w:marTop w:val="77"/>
          <w:marBottom w:val="0"/>
          <w:divBdr>
            <w:top w:val="none" w:sz="0" w:space="0" w:color="auto"/>
            <w:left w:val="none" w:sz="0" w:space="0" w:color="auto"/>
            <w:bottom w:val="none" w:sz="0" w:space="0" w:color="auto"/>
            <w:right w:val="none" w:sz="0" w:space="0" w:color="auto"/>
          </w:divBdr>
        </w:div>
        <w:div w:id="2905926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4513-5978-4CB7-A9F8-608AB7A5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2836</Words>
  <Characters>16167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3</cp:revision>
  <dcterms:created xsi:type="dcterms:W3CDTF">2016-08-25T05:58:00Z</dcterms:created>
  <dcterms:modified xsi:type="dcterms:W3CDTF">2016-08-25T05:59:00Z</dcterms:modified>
</cp:coreProperties>
</file>